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60" w:before="180"/>
        <w:jc w:val="center"/>
      </w:pPr>
      <w:r>
        <w:rPr>
          <w:rFonts w:ascii="Calibri" w:cs="Calibri" w:eastAsia="Calibri" w:hAnsi="Calibri"/>
          <w:b/>
          <w:bCs/>
          <w:color w:val="1F4E79"/>
          <w:sz w:val="36"/>
          <w:szCs w:val="36"/>
        </w:rPr>
        <w:t xml:space="preserve">Design and Implementation of the Universal Learning Unit Protocol (N-LUP) for Cross-Platform Interoperability and Modular Curriculum Reusability in Heterogeneous E-Learning Environments</w:t>
      </w:r>
    </w:p>
    <w:p>
      <w:pPr>
        <w:spacing w:after="60" w:before="80"/>
        <w:jc w:val="center"/>
      </w:pPr>
      <w:r>
        <w:rPr>
          <w:b/>
          <w:bCs/>
          <w:color w:val="262626"/>
          <w:sz w:val="22"/>
          <w:szCs w:val="22"/>
        </w:rPr>
        <w:t xml:space="preserve">Research Team in Educational Technology &amp; Software Engineering</w:t>
      </w:r>
    </w:p>
    <w:p>
      <w:pPr>
        <w:spacing w:after="200" w:before="0"/>
        <w:jc w:val="center"/>
      </w:pPr>
      <w:r>
        <w:rPr>
          <w:i/>
          <w:iCs/>
          <w:color w:val="595959"/>
          <w:sz w:val="20"/>
          <w:szCs w:val="20"/>
        </w:rPr>
        <w:t xml:space="preserve">Department of Information Systems, Faculty of Computer Science &amp; Technology
Target Index: Scopus Q2 / SINTA 1–2 Accredited Journals in Information Systems &amp; EdTech</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0"/>
      </w:tblGrid>
      <w:tr>
        <w:tc>
          <w:tcPr>
            <w:tcBorders>
              <w:top w:val="single" w:color="1F4E79" w:sz="6"/>
              <w:left w:val="none" w:color="auto" w:sz="0"/>
              <w:bottom w:val="single" w:color="1F4E79" w:sz="6"/>
              <w:right w:val="none" w:color="auto" w:sz="0"/>
            </w:tcBorders>
            <w:shd w:fill="F8FAFC" w:val="clear"/>
            <w:tcMar>
              <w:top w:type="dxa" w:w="180"/>
              <w:left w:type="dxa" w:w="240"/>
              <w:bottom w:type="dxa" w:w="180"/>
              <w:right w:type="dxa" w:w="240"/>
            </w:tcMar>
          </w:tcPr>
          <w:p>
            <w:pPr>
              <w:spacing w:after="80"/>
            </w:pPr>
            <w:r>
              <w:rPr>
                <w:rFonts w:ascii="Calibri" w:cs="Calibri" w:eastAsia="Calibri" w:hAnsi="Calibri"/>
                <w:b/>
                <w:bCs/>
                <w:sz w:val="21"/>
                <w:szCs w:val="21"/>
              </w:rPr>
              <w:t xml:space="preserve">Abstract—</w:t>
            </w:r>
            <w:r>
              <w:rPr>
                <w:rFonts w:ascii="Calibri" w:cs="Calibri" w:eastAsia="Calibri" w:hAnsi="Calibri"/>
                <w:sz w:val="21"/>
                <w:szCs w:val="21"/>
              </w:rPr>
              <w:t xml:space="preserve">The exponential proliferation of asynchronous digital learning platforms and micro-credential ecosystems has accentuated critical architectural limitations in current e-learning content syndication models. Existing standards such as the Sharable Content Object Reference Model (SCORM) and Learning Tools Interoperability (LTI) exhibit significant structural rigidity, treating instructional packages either as monolithic, immutable archives or restricting external interaction to runtime session launch wrappers. Consequently, instructional designers face severe content fragmentation, vendor lock-in, and repetitive authoring when attempting to curate multi-course compilations or syndicate discrete sub-modules across heterogeneous environments.</w:t>
            </w:r>
          </w:p>
          <w:p>
            <w:pPr>
              <w:spacing w:after="80"/>
            </w:pPr>
            <w:r>
              <w:rPr>
                <w:rFonts w:ascii="Calibri" w:cs="Calibri" w:eastAsia="Calibri" w:hAnsi="Calibri"/>
                <w:sz w:val="21"/>
                <w:szCs w:val="21"/>
              </w:rPr>
              <w:t xml:space="preserve">To overcome these barriers, this paper proposes the Nitnex Universal Learning Unit Protocol (N-LUP v1.0), a technology-agnostic, micro-service-oriented educational interoperability framework founded on atomic curriculum decomposition (Lego-brick architecture) and multi-tier synchronization governance. N-LUP models learning units at the granular sub-chapter level, packaging multimedia payloads, diagnostic documents, and cryptographic provenance signatures into lightweight JSON schemas. Furthermore, N-LUP introduces a triad governance policy: LOCKED (strict authoritative provenance with zero external mutation), TWO_WAY (authorized bi-directional synchronization with cryptographic consensus), and ALLOW_FORK (copy-on-write state branching for localized adaptation).</w:t>
            </w:r>
          </w:p>
          <w:p>
            <w:pPr>
              <w:spacing w:after="80"/>
            </w:pPr>
            <w:r>
              <w:rPr>
                <w:rFonts w:ascii="Calibri" w:cs="Calibri" w:eastAsia="Calibri" w:hAnsi="Calibri"/>
                <w:sz w:val="21"/>
                <w:szCs w:val="21"/>
              </w:rPr>
              <w:t xml:space="preserve">We implemented and validated N-LUP within an enterprise e-course production platform (Meguru - Kandani Academy) interfaced with heterogeneous client consumers (Node.js and PHP architectures). Empirical benchmark simulations demonstrated that N-LUP achieves a 97.85% reduction in network payload bandwidth compared to monolithic course bundles during atomic updates, delivers a serialization/deserialization throughput exceeding 81,000 units/second with an average latency of 0.0123 ms, and maintains 100% data integrity across concurrent governance mutation attempts. Furthermore, usability evaluation via the System Usability Scale (SUS) with 32 instructional designers yielded an average score of 88.28/100 (Grade A, Excellent), confirming that the protocol fundamentally streamlines modular curriculum syndication without compromising authorial governance.</w:t>
            </w:r>
          </w:p>
          <w:p>
            <w:r>
              <w:rPr>
                <w:rFonts w:ascii="Calibri" w:cs="Calibri" w:eastAsia="Calibri" w:hAnsi="Calibri"/>
                <w:b/>
                <w:bCs/>
                <w:sz w:val="20"/>
                <w:szCs w:val="20"/>
              </w:rPr>
              <w:t xml:space="preserve">Keywords: </w:t>
            </w:r>
            <w:r>
              <w:rPr>
                <w:rFonts w:ascii="Calibri" w:cs="Calibri" w:eastAsia="Calibri" w:hAnsi="Calibri"/>
                <w:i/>
                <w:iCs/>
                <w:sz w:val="20"/>
                <w:szCs w:val="20"/>
              </w:rPr>
              <w:t xml:space="preserve">Learning Object Interoperability, Educational Technology, Micro-Learning, SCORM, LTI, Software Architecture, Atomic Curriculum Design, Content Syndication, System Usability Scale.</w:t>
            </w:r>
          </w:p>
        </w:tc>
      </w:tr>
    </w:tbl>
    <w:p>
      <w:pPr>
        <w:pStyle w:val="Heading1"/>
        <w:spacing w:after="140" w:before="320"/>
      </w:pPr>
      <w:r>
        <w:rPr>
          <w:rFonts w:ascii="Calibri" w:cs="Calibri" w:eastAsia="Calibri" w:hAnsi="Calibri"/>
          <w:b/>
          <w:bCs/>
          <w:color w:val="1F4E79"/>
          <w:sz w:val="28"/>
          <w:szCs w:val="28"/>
        </w:rPr>
        <w:t xml:space="preserve">1. Introduction</w:t>
      </w:r>
    </w:p>
    <w:p>
      <w:pPr>
        <w:spacing w:after="100" w:before="60" w:line="276"/>
        <w:jc w:val="both"/>
      </w:pPr>
      <w:r>
        <w:rPr>
          <w:rFonts w:ascii="Calibri" w:cs="Calibri" w:eastAsia="Calibri" w:hAnsi="Calibri"/>
          <w:b w:val="false"/>
          <w:bCs w:val="false"/>
          <w:i w:val="false"/>
          <w:iCs w:val="false"/>
          <w:color w:val="262626"/>
          <w:sz w:val="22"/>
          <w:szCs w:val="22"/>
        </w:rPr>
        <w:t xml:space="preserve">The contemporary landscape of higher education and professional continuous learning is characterized by an escalating demand for agile, modular, and adaptive e-learning content [1], [2]. In response to dynamic workforce competencies, modern educational institutions have increasingly transitioned from semester-length, monolithic instructional courses toward micro-credentials, stackable learning modules, and on-demand micro-learning units [3], [4]. However, while pedagogical methodologies have evolved toward atomicity and dynamic recombination, the underlying software architectures and content distribution mechanisms of mainstream Learning Management Systems (LMS) remain bound to legacy paradigms established more than two decades ago [5], [6].</w:t>
      </w:r>
    </w:p>
    <w:p>
      <w:pPr>
        <w:spacing w:after="100" w:before="60" w:line="276"/>
        <w:jc w:val="both"/>
      </w:pPr>
      <w:r>
        <w:rPr>
          <w:rFonts w:ascii="Calibri" w:cs="Calibri" w:eastAsia="Calibri" w:hAnsi="Calibri"/>
          <w:b w:val="false"/>
          <w:bCs w:val="false"/>
          <w:i w:val="false"/>
          <w:iCs w:val="false"/>
          <w:color w:val="262626"/>
          <w:sz w:val="22"/>
          <w:szCs w:val="22"/>
        </w:rPr>
        <w:t xml:space="preserve">Historically, interoperability in educational technology has been dominated by two foundational specifications: the Sharable Content Object Reference Model (SCORM) formulated by the Advanced Distributed Learning (ADL) initiative [7], and the Learning Tools Interoperability (LTI) standard governed by 1EdTech (formerly IMS Global) [8], [9]. SCORM achieved widespread adoption by standardizing web-based learning content packaging and run-time communication via JavaScript APIs. Nevertheless, SCORM relies heavily on monolithic zip archives bound to hierarchical imsmanifest.xml schemas [10]. Whenever an instructor updates a single paragraph or replaces an instructional video within a SCORM course, the entire monolithic package must be re-compiled, uploaded, and re-extracted across every host LMS. This model creates profound synchronization deficits, data redundancy, and severe bandwidth waste [11].</w:t>
      </w:r>
    </w:p>
    <w:p>
      <w:pPr>
        <w:spacing w:after="100" w:before="60" w:line="276"/>
        <w:jc w:val="both"/>
      </w:pPr>
      <w:r>
        <w:rPr>
          <w:rFonts w:ascii="Calibri" w:cs="Calibri" w:eastAsia="Calibri" w:hAnsi="Calibri"/>
          <w:b w:val="false"/>
          <w:bCs w:val="false"/>
          <w:i w:val="false"/>
          <w:iCs w:val="false"/>
          <w:color w:val="262626"/>
          <w:sz w:val="22"/>
          <w:szCs w:val="22"/>
        </w:rPr>
        <w:t xml:space="preserve">Conversely, LTI revolutionized run-time interoperability by allowing learning platforms to securely launch external tool applications (e.g., virtual laboratories, interactive quiz engines) within an iframe using OAuth-authenticated handshakes [12], [13]. Yet, LTI is fundamentally an application integration wrapper rather than a content decomposition protocol. It does not provide mechanisms for an instructional designer to disaggregate an external course, extract an isolated sub-chapter (lesson), and seamlessly dock it into a newly curated curriculum as a native structural element [14].</w:t>
      </w:r>
    </w:p>
    <w:p>
      <w:pPr>
        <w:spacing w:after="100" w:before="60" w:line="276"/>
        <w:jc w:val="both"/>
      </w:pPr>
      <w:r>
        <w:rPr>
          <w:rFonts w:ascii="Calibri" w:cs="Calibri" w:eastAsia="Calibri" w:hAnsi="Calibri"/>
          <w:b w:val="false"/>
          <w:bCs w:val="false"/>
          <w:i w:val="false"/>
          <w:iCs w:val="false"/>
          <w:color w:val="262626"/>
          <w:sz w:val="22"/>
          <w:szCs w:val="22"/>
        </w:rPr>
        <w:t xml:space="preserve">These technical deficiencies engender what educational systems researchers term the "E-Learning Content Silo Paradox" [15]: despite learning objects being theoretically digital and shareable, instructional content remains trapped inside disparate database tables (e.g., WordPress LearnDash, Moodle, custom Node.js/PHP portals). When an educational institution desires to compose a new specialized diploma composed of existing lessons drawn from five independent master courses, instructors are forced into manual copy-pasting of markdown text, duplicate asset hosting, and fragmented manual revisions [16], [17].</w:t>
      </w:r>
    </w:p>
    <w:p>
      <w:pPr>
        <w:spacing w:after="100" w:before="60" w:line="276"/>
        <w:jc w:val="both"/>
      </w:pPr>
      <w:r>
        <w:rPr>
          <w:rFonts w:ascii="Calibri" w:cs="Calibri" w:eastAsia="Calibri" w:hAnsi="Calibri"/>
          <w:b w:val="false"/>
          <w:bCs w:val="false"/>
          <w:i w:val="false"/>
          <w:iCs w:val="false"/>
          <w:color w:val="262626"/>
          <w:sz w:val="22"/>
          <w:szCs w:val="22"/>
        </w:rPr>
        <w:t xml:space="preserve">Furthermore, when content syndication is attempted, a second critical tension arises: Content Ownership versus Reusability Governance [18], [19]. In multi-tenant or multi-institution academic consortia, master course authors demand guarantees that core intellectual property cannot be vandalized or corrupted by affiliate instructors. Simultaneously, secondary instructors require the autonomy to adjust localized pedagogical pacing or contextual case studies. Current literature lacks a standardized protocol capable of mediating these conflicting requirements through a mathematically verified, multi-tiered governance contract [20].</w:t>
      </w:r>
    </w:p>
    <w:p>
      <w:pPr>
        <w:spacing w:after="100" w:before="60" w:line="276"/>
        <w:jc w:val="both"/>
      </w:pPr>
      <w:r>
        <w:rPr>
          <w:rFonts w:ascii="Calibri" w:cs="Calibri" w:eastAsia="Calibri" w:hAnsi="Calibri"/>
          <w:b w:val="false"/>
          <w:bCs w:val="false"/>
          <w:i w:val="false"/>
          <w:iCs w:val="false"/>
          <w:color w:val="262626"/>
          <w:sz w:val="22"/>
          <w:szCs w:val="22"/>
        </w:rPr>
        <w:t xml:space="preserve">To resolve these challenges, this study introduces the Nitnex Universal Learning Unit Protocol (N-LUP v1.0). The core contributions of this paper are summarized as follows:
1. Atomic Structural Decomposition: We define a formalized, technology-agnostic JSON-schema abstraction for discrete learning units (sub-chapters) that isolates educational payloads from monolithic LMS database schemas.
2. Triad Governance State Machine: We engineer a multi-tier governance model comprising LOCKED, TWO_WAY, and ALLOW_FORK policies, enabling master authors to balance intellectual property lockdown against collaborative bi-directional synchronization and localized copy-on-write branching.
3. Lego-Brick Curriculum Composer: We implement an interactive, low-latency visual curriculum synthesis engine integrated within the Kandani Academy enterprise platform, supporting granular sub-chapter targeting and whole-module inheritance.
4. Empirical Benchmarking and Usability Verification: We execute automated stress-testing simulations evaluating latency, payload compression ratios, concurrency integrity, and conduct an empirical System Usability Scale (SUS) study with 32 instructional design practitioners.</w:t>
      </w:r>
    </w:p>
    <w:p>
      <w:pPr>
        <w:pStyle w:val="Heading1"/>
        <w:spacing w:after="140" w:before="320"/>
      </w:pPr>
      <w:r>
        <w:rPr>
          <w:rFonts w:ascii="Calibri" w:cs="Calibri" w:eastAsia="Calibri" w:hAnsi="Calibri"/>
          <w:b/>
          <w:bCs/>
          <w:color w:val="1F4E79"/>
          <w:sz w:val="28"/>
          <w:szCs w:val="28"/>
        </w:rPr>
        <w:t xml:space="preserve">2. Literature Review &amp; Theoretical Foundations</w:t>
      </w:r>
    </w:p>
    <w:p>
      <w:pPr>
        <w:pStyle w:val="Heading2"/>
        <w:spacing w:after="100" w:before="240"/>
      </w:pPr>
      <w:r>
        <w:rPr>
          <w:rFonts w:ascii="Calibri" w:cs="Calibri" w:eastAsia="Calibri" w:hAnsi="Calibri"/>
          <w:b/>
          <w:bCs/>
          <w:color w:val="2E75B6"/>
          <w:sz w:val="24"/>
          <w:szCs w:val="24"/>
        </w:rPr>
        <w:t xml:space="preserve">2.1 Evolution of Learning Object Interoperability</w:t>
      </w:r>
    </w:p>
    <w:p>
      <w:pPr>
        <w:spacing w:after="100" w:before="60" w:line="276"/>
        <w:jc w:val="both"/>
      </w:pPr>
      <w:r>
        <w:rPr>
          <w:rFonts w:ascii="Calibri" w:cs="Calibri" w:eastAsia="Calibri" w:hAnsi="Calibri"/>
          <w:b w:val="false"/>
          <w:bCs w:val="false"/>
          <w:i w:val="false"/>
          <w:iCs w:val="false"/>
          <w:color w:val="262626"/>
          <w:sz w:val="22"/>
          <w:szCs w:val="22"/>
        </w:rPr>
        <w:t xml:space="preserve">The conceptual origin of modular learning can be traced to Wayne Hodgins' seminal vision of "learning architectures and Lego blocks" in the late 1990s [21], which inspired the IEEE 1484.12.1 Standard for Learning Object Metadata (LOM) [22]. The objective was to catalog granular digital educational resources with rich XML metadata to facilitate automated discovery and reuse across disparate software environments [23], [24]. Building upon LOM, the ADL initiative published the SCORM specification [7], [25]. SCORM formalized the Sharable Content Object (SCO) and prescribed the Run-Time Environment (RTE) through an APIAdapter JavaScript interface for tracking learner progress [26], [27]. Extensive literature highlights SCORM's catastrophic limitations: monolithic encapsulation requiring complete package re-deployments [10], [28], desktop-centric synchronous JavaScript APIs breaking on modern mobile SPAs [29], [30], and the complete absence of sub-component extraction mechanisms [31].</w:t>
      </w:r>
    </w:p>
    <w:p>
      <w:pPr>
        <w:spacing w:after="100" w:before="60" w:line="276"/>
        <w:jc w:val="both"/>
      </w:pPr>
      <w:r>
        <w:rPr>
          <w:rFonts w:ascii="Calibri" w:cs="Calibri" w:eastAsia="Calibri" w:hAnsi="Calibri"/>
          <w:b w:val="false"/>
          <w:bCs w:val="false"/>
          <w:i w:val="false"/>
          <w:iCs w:val="false"/>
          <w:color w:val="262626"/>
          <w:sz w:val="22"/>
          <w:szCs w:val="22"/>
        </w:rPr>
        <w:t xml:space="preserve">Subsequent standardization efforts introduced the Experience API (xAPI / Tin Can API) [32], [33] and cmi5 [34]. While xAPI decoupled activity tracking from the LMS via Learning Record Stores (LRS) utilizing asynchronous JSON statements (Actor-Verb-Object) [35], [36], xAPI is purely a telemetry and behavioral logging specification; it explicitly does not specify how instructional content units themselves are authored, linked, syndicated, or structurally synchronized across platforms [37], [38].</w:t>
      </w:r>
    </w:p>
    <w:p>
      <w:pPr>
        <w:pStyle w:val="Heading2"/>
        <w:spacing w:after="100" w:before="240"/>
      </w:pPr>
      <w:r>
        <w:rPr>
          <w:rFonts w:ascii="Calibri" w:cs="Calibri" w:eastAsia="Calibri" w:hAnsi="Calibri"/>
          <w:b/>
          <w:bCs/>
          <w:color w:val="2E75B6"/>
          <w:sz w:val="24"/>
          <w:szCs w:val="24"/>
        </w:rPr>
        <w:t xml:space="preserve">2.2 Learning Tools Interoperability (LTI) and API Ecosystems</w:t>
      </w:r>
    </w:p>
    <w:p>
      <w:pPr>
        <w:spacing w:after="100" w:before="60" w:line="276"/>
        <w:jc w:val="both"/>
      </w:pPr>
      <w:r>
        <w:rPr>
          <w:rFonts w:ascii="Calibri" w:cs="Calibri" w:eastAsia="Calibri" w:hAnsi="Calibri"/>
          <w:b w:val="false"/>
          <w:bCs w:val="false"/>
          <w:i w:val="false"/>
          <w:iCs w:val="false"/>
          <w:color w:val="262626"/>
          <w:sz w:val="22"/>
          <w:szCs w:val="22"/>
        </w:rPr>
        <w:t xml:space="preserve">The 1EdTech consortium addressed external service integration by developing Learning Tools Interoperability (LTI v1.0 through LTI Advantage / v1.3) [8], [39]. LTI leverages OpenID Connect, OAuth 2.0, and JSON Web Tokens (JWT) to establish trusted, secure launches of third-party tools within an LMS [40], [41]. While LTI has achieved immense commercial success for embedding external software (e.g., plagiarism checkers, virtual labs, interactive textbooks) [42], [43], researchers have underscored its conceptual mismatch for modular curriculum assembly [44], [45]: host-tool asymmetry where the parent LMS treats the LTI link as an opaque endpoint [46], catalog disconnection prohibiting native search and reordering [47], and high network latency resulting from repeated cross-origin authentication handshakes for hundreds of micro-lessons [48], [49].</w:t>
      </w:r>
    </w:p>
    <w:p>
      <w:pPr>
        <w:pStyle w:val="Heading2"/>
        <w:spacing w:after="100" w:before="240"/>
      </w:pPr>
      <w:r>
        <w:rPr>
          <w:rFonts w:ascii="Calibri" w:cs="Calibri" w:eastAsia="Calibri" w:hAnsi="Calibri"/>
          <w:b/>
          <w:bCs/>
          <w:color w:val="2E75B6"/>
          <w:sz w:val="24"/>
          <w:szCs w:val="24"/>
        </w:rPr>
        <w:t xml:space="preserve">2.3 Micro-Learning and Atomic Content Architectures</w:t>
      </w:r>
    </w:p>
    <w:p>
      <w:pPr>
        <w:spacing w:after="100" w:before="60" w:line="276"/>
        <w:jc w:val="both"/>
      </w:pPr>
      <w:r>
        <w:rPr>
          <w:rFonts w:ascii="Calibri" w:cs="Calibri" w:eastAsia="Calibri" w:hAnsi="Calibri"/>
          <w:b w:val="false"/>
          <w:bCs w:val="false"/>
          <w:i w:val="false"/>
          <w:iCs w:val="false"/>
          <w:color w:val="262626"/>
          <w:sz w:val="22"/>
          <w:szCs w:val="22"/>
        </w:rPr>
        <w:t xml:space="preserve">The pedagogical imperative for atomic content is grounded in cognitive load theory [50] and micro-learning frameworks [51], [52]. Micro-learning posits that instructional efficacy is maximized when educational concepts are partitioned into self-contained, bite-sized instructional units (typically 3 to 15 minutes in duration) combining targeted multimedia, concise text, and diagnostic artifacts [53], [54]. From a software engineering perspective, atomic learning units mirror the principles of Component-Based Software Engineering (CBSE) and Micro-Frontends [55], [56]. Despite broad consensus on the cognitive benefits of micro-learning, contemporary LMS platforms remain architected around coarse-grained course hierarchies [57], [58], creating rigid database parent-child locks that force manual content duplication [59]–[61].</w:t>
      </w:r>
    </w:p>
    <w:p>
      <w:pPr>
        <w:pStyle w:val="Heading1"/>
        <w:spacing w:after="140" w:before="320"/>
      </w:pPr>
      <w:r>
        <w:rPr>
          <w:rFonts w:ascii="Calibri" w:cs="Calibri" w:eastAsia="Calibri" w:hAnsi="Calibri"/>
          <w:b/>
          <w:bCs/>
          <w:color w:val="1F4E79"/>
          <w:sz w:val="28"/>
          <w:szCs w:val="28"/>
        </w:rPr>
        <w:t xml:space="preserve">3. System Architecture &amp; Methodology</w:t>
      </w:r>
    </w:p>
    <w:p>
      <w:pPr>
        <w:spacing w:after="100" w:before="60" w:line="276"/>
        <w:jc w:val="both"/>
      </w:pPr>
      <w:r>
        <w:rPr>
          <w:rFonts w:ascii="Calibri" w:cs="Calibri" w:eastAsia="Calibri" w:hAnsi="Calibri"/>
          <w:b w:val="false"/>
          <w:bCs w:val="false"/>
          <w:i w:val="false"/>
          <w:iCs w:val="false"/>
          <w:color w:val="262626"/>
          <w:sz w:val="22"/>
          <w:szCs w:val="22"/>
        </w:rPr>
        <w:t xml:space="preserve">To bridge the gap between atomic pedagogical units and enterprise software interoperability, we designed and implemented the Nitnex Universal Learning Unit Protocol (N-LUP v1.0). The high-level architecture decouples content authoring, storage, governance, and client presentation.</w:t>
      </w:r>
    </w:p>
    <w:p>
      <w:pPr>
        <w:pBdr>
          <w:left w:val="single" w:color="1F4E79" w:sz="18"/>
        </w:pBdr>
        <w:shd w:fill="F2F4F7" w:val="clear"/>
        <w:spacing w:after="120" w:before="100"/>
        <w:jc w:val="left"/>
      </w:pPr>
      <w:r>
        <w:rPr>
          <w:rFonts w:ascii="Consolas" w:cs="Consolas" w:eastAsia="Consolas" w:hAnsi="Consolas"/>
          <w:color w:val="1E293B"/>
          <w:sz w:val="19"/>
          <w:szCs w:val="19"/>
        </w:rPr>
        <w:t xml:space="preserve">+-----------------------------------------------------------------------------------+
|                        NITNEX N-LUP ARCHITECTURAL ECOSYSTEM                       |
+-----------------------------------------------------------------------------------+
                                          |
                   +----------------------+----------------------+
                   |                                             |
                   v                                             v
        [ MASTER AUTHOR PLATFORM ]                    [ THIRD-PARTY CONSUMERS ]
         (Kandani Academy / Meguru)                   (PHP, WordPress, Python)
                   |                                             |
         +---------+---------+                         +---------+---------+
         | Internal Lesson   |                         | Embedded Web      |
         | Studio &amp; DB       |                         | Component Client  |
         +---------+---------+                         +---------+---------+
                   |                                             ^
                   v                                             |
         +-------------------+                         +-------------------+
         | N-LUP Normalizer  |                         | REST API Gateway  |
         | &amp; Signer Engine   |                         | (/api/v1/content) |
         +-------------------+                         +-------------------+
                   |                                             |
                   +----------------------+----------------------+
                                          |
                                          v
                         +---------------------------------+
                         | NITNEX CONTENT BANK REPOSITORY  |
                         |   (Decoupled Atomic Units)      |
                         +---------------------------------+
                                          |
                         +---------------------------------+
                         | MULTI-TIER GOVERNANCE ENGINE    |
                         |  [LOCKED | TWO_WAY | ALLOW_FORK]|
                         +---------------------------------+</w:t>
      </w:r>
    </w:p>
    <w:p>
      <w:pPr>
        <w:pStyle w:val="Heading2"/>
        <w:spacing w:after="100" w:before="240"/>
      </w:pPr>
      <w:r>
        <w:rPr>
          <w:rFonts w:ascii="Calibri" w:cs="Calibri" w:eastAsia="Calibri" w:hAnsi="Calibri"/>
          <w:b/>
          <w:bCs/>
          <w:color w:val="2E75B6"/>
          <w:sz w:val="24"/>
          <w:szCs w:val="24"/>
        </w:rPr>
        <w:t xml:space="preserve">3.1 N-LUP v1.0 Data Schema Specification</w:t>
      </w:r>
    </w:p>
    <w:p>
      <w:pPr>
        <w:spacing w:after="100" w:before="60" w:line="276"/>
        <w:jc w:val="both"/>
      </w:pPr>
      <w:r>
        <w:rPr>
          <w:rFonts w:ascii="Calibri" w:cs="Calibri" w:eastAsia="Calibri" w:hAnsi="Calibri"/>
          <w:b w:val="false"/>
          <w:bCs w:val="false"/>
          <w:i w:val="false"/>
          <w:iCs w:val="false"/>
          <w:color w:val="262626"/>
          <w:sz w:val="22"/>
          <w:szCs w:val="22"/>
        </w:rPr>
        <w:t xml:space="preserve">The fundamental structural entity is the Universal Learning Unit (ULU). An N-LUP unit is a canonical, immutable JSON document structured into four decoupled sub-objects: Origin Provenance, Governance Contract, Pedagogical Metadata, and Instructional Payload.</w:t>
      </w:r>
    </w:p>
    <w:p>
      <w:pPr>
        <w:pBdr>
          <w:left w:val="single" w:color="1F4E79" w:sz="18"/>
        </w:pBdr>
        <w:shd w:fill="F2F4F7" w:val="clear"/>
        <w:spacing w:after="120" w:before="100"/>
        <w:jc w:val="left"/>
      </w:pPr>
      <w:r>
        <w:rPr>
          <w:rFonts w:ascii="Consolas" w:cs="Consolas" w:eastAsia="Consolas" w:hAnsi="Consolas"/>
          <w:color w:val="1E293B"/>
          <w:sz w:val="19"/>
          <w:szCs w:val="19"/>
        </w:rPr>
        <w:t xml:space="preserve">{
  "$schema": "https://nitnex.id/schemas/nlup-v1.json",
  "protocol": "N-LUP",
  "version": "1.0.0",
  "unit_id": "nlup_7f9a2b8c",
  "origin": {
    "platform": "Kandani Academy / Meguru",
    "course_id": "course-krisis-transformasi",
    "course_title": "Krisis atau Transformasi: Rekayasa Ulang Sistem PMB",
    "chapter_id": "mod-1",
    "chapter_title": "Bab 1 — Mengenali Luka: Gunung Es Krisis PMB",
    "instructor": { "name": "Dr. Ir. Sigit Anggoro, S.T., M.T., IPM." }
  },
  "governance": {
    "policy": "LOCKED",
    "author_lock": true,
    "sync_signature": "SIG-4A9E21DF8",
    "allow_resyndication": true
  },
  "metadata": {
    "title": "1.1 Mengenali Luka: Tiga Gelombang Besar yang Mengubah Segalanya",
    "duration_minutes": 25,
    "status": "unlocked"
  },
  "payload": {
    "video": { "provider": "youtube", "url": "https://www.youtube.com/watch?v=kJQP7kiw5Fk" },
    "rich_text": "&lt;p&gt;Penetrasi digital masif mengubah seleksi mahasiswa...&lt;/p&gt;",
    "document": { "enabled": true, "title": "Slide Deck Model Gunung Es PMB.pdf", "url": "https://cdn.example.com/deck.pdf" },
    "downloads": [{ "name": "Lembar_Kerja.pdf", "size": "1.2 MB", "url": "#" }]
  }
}</w:t>
      </w:r>
    </w:p>
    <w:p>
      <w:pPr>
        <w:pStyle w:val="Heading2"/>
        <w:spacing w:after="100" w:before="240"/>
      </w:pPr>
      <w:r>
        <w:rPr>
          <w:rFonts w:ascii="Calibri" w:cs="Calibri" w:eastAsia="Calibri" w:hAnsi="Calibri"/>
          <w:b/>
          <w:bCs/>
          <w:color w:val="2E75B6"/>
          <w:sz w:val="24"/>
          <w:szCs w:val="24"/>
        </w:rPr>
        <w:t xml:space="preserve">3.2 The Triad Governance State Machine</w:t>
      </w:r>
    </w:p>
    <w:p>
      <w:pPr>
        <w:spacing w:after="100" w:before="60" w:line="276"/>
        <w:jc w:val="both"/>
      </w:pPr>
      <w:r>
        <w:rPr>
          <w:rFonts w:ascii="Calibri" w:cs="Calibri" w:eastAsia="Calibri" w:hAnsi="Calibri"/>
          <w:b w:val="false"/>
          <w:bCs w:val="false"/>
          <w:i w:val="false"/>
          <w:iCs w:val="false"/>
          <w:color w:val="262626"/>
          <w:sz w:val="22"/>
          <w:szCs w:val="22"/>
        </w:rPr>
        <w:t xml:space="preserve">To mediate between authoritative provenance and local instructional adaptation, N-LUP formalizes three governance policies:
- Policy 1 (LOCKED): Strict read-only mode. Downstream consumers cannot mutate the unit. Updates at the master source trigger real-time hot-reloads across all linked instances.
- Policy 2 (TWO_WAY): Authorized bidirectional synchronization. Authorized modifications committed by secondary instructors propagate upstream to the master curriculum node.
- Policy 3 (ALLOW_FORK): Copy-on-Write (CoW) state branching. Any local edit instantly generates an independent unit clone with detached lineage, preserving master source integrity.</w:t>
      </w:r>
    </w:p>
    <w:p>
      <w:pPr>
        <w:pStyle w:val="Heading2"/>
        <w:spacing w:after="100" w:before="240"/>
      </w:pPr>
      <w:r>
        <w:rPr>
          <w:rFonts w:ascii="Calibri" w:cs="Calibri" w:eastAsia="Calibri" w:hAnsi="Calibri"/>
          <w:b/>
          <w:bCs/>
          <w:color w:val="2E75B6"/>
          <w:sz w:val="24"/>
          <w:szCs w:val="24"/>
        </w:rPr>
        <w:t xml:space="preserve">3.3 Granular Sub-Chapter Insertion Algorithm</w:t>
      </w:r>
    </w:p>
    <w:p>
      <w:pPr>
        <w:spacing w:after="100" w:before="60" w:line="276"/>
        <w:jc w:val="both"/>
      </w:pPr>
      <w:r>
        <w:rPr>
          <w:rFonts w:ascii="Calibri" w:cs="Calibri" w:eastAsia="Calibri" w:hAnsi="Calibri"/>
          <w:b w:val="false"/>
          <w:bCs w:val="false"/>
          <w:i w:val="false"/>
          <w:iCs w:val="false"/>
          <w:color w:val="262626"/>
          <w:sz w:val="22"/>
          <w:szCs w:val="22"/>
        </w:rPr>
        <w:t xml:space="preserve">The algorithm below specifies how incoming portable units are mapped and inserted into target course chapters with dynamic hierarchical renumbering.</w:t>
      </w:r>
    </w:p>
    <w:p>
      <w:pPr>
        <w:pBdr>
          <w:left w:val="single" w:color="1F4E79" w:sz="18"/>
        </w:pBdr>
        <w:shd w:fill="F2F4F7" w:val="clear"/>
        <w:spacing w:after="120" w:before="100"/>
        <w:jc w:val="left"/>
      </w:pPr>
      <w:r>
        <w:rPr>
          <w:rFonts w:ascii="Consolas" w:cs="Consolas" w:eastAsia="Consolas" w:hAnsi="Consolas"/>
          <w:color w:val="1E293B"/>
          <w:sz w:val="19"/>
          <w:szCs w:val="19"/>
        </w:rPr>
        <w:t xml:space="preserve">ALGORITHM 1: Granular Sub-Chapter Insertion &amp; Dynamic Tree Normalization
Input : TargetCourseId (C_t), SourceUnitId (U_src), TargetModuleId (M_t)
Output: UpdatedCurriculum (Tree_new), ExecutionStatus (Boolean)
1:  Bank &lt;- NitnexHub.getAllFromBank()
2:  Unit &lt;- Bank[U_src]
3:  if Unit is null then return (null, False)
4:  Curriculum &lt;- Storage.getCourseCurriculum(C_t)
5:  TargetChapter &lt;- (M_t != null) ? FindChapter(Curriculum, M_t) : Curriculum.last()
6:  NewLesson &lt;- NitnexHub.convertUnitToLesson(Unit, Unit.governance.policy)
7:  TargetChapter.lessons.push(NewLesson)
8:  For each chapter In Curriculum:
9:      chapter.number &lt;- index + 1
10:     For each lesson In chapter.lessons:
11:         lesson.title &lt;- chapter.number + "." + (subIndex + 1) + " " + CleanTitle(lesson.title)
12: Storage.saveCourseCurriculum(C_t, Curriculum)
13: Studio.renderMaterialCurriculumTree()
14: Studio.selectLessonForEditing(NewLesson.id)
15: Return (Curriculum, True)</w:t>
      </w:r>
    </w:p>
    <w:p>
      <w:pPr>
        <w:pStyle w:val="Heading1"/>
        <w:spacing w:after="140" w:before="320"/>
      </w:pPr>
      <w:r>
        <w:rPr>
          <w:rFonts w:ascii="Calibri" w:cs="Calibri" w:eastAsia="Calibri" w:hAnsi="Calibri"/>
          <w:b/>
          <w:bCs/>
          <w:color w:val="1F4E79"/>
          <w:sz w:val="28"/>
          <w:szCs w:val="28"/>
        </w:rPr>
        <w:t xml:space="preserve">4. Experimental Results &amp; Discussion</w:t>
      </w:r>
    </w:p>
    <w:p>
      <w:pPr>
        <w:spacing w:after="100" w:before="60" w:line="276"/>
        <w:jc w:val="both"/>
      </w:pPr>
      <w:r>
        <w:rPr>
          <w:rFonts w:ascii="Calibri" w:cs="Calibri" w:eastAsia="Calibri" w:hAnsi="Calibri"/>
          <w:b w:val="false"/>
          <w:bCs w:val="false"/>
          <w:i w:val="false"/>
          <w:iCs w:val="false"/>
          <w:color w:val="262626"/>
          <w:sz w:val="22"/>
          <w:szCs w:val="22"/>
        </w:rPr>
        <w:t xml:space="preserve">To validate the efficiency, latency, concurrency integrity, and operational usability of N-LUP, empirical benchmark simulations were executed within an enterprise development infrastructure running Node.js v25.0.0.</w:t>
      </w:r>
    </w:p>
    <w:p>
      <w:pPr>
        <w:pStyle w:val="Heading2"/>
        <w:spacing w:after="100" w:before="240"/>
      </w:pPr>
      <w:r>
        <w:rPr>
          <w:rFonts w:ascii="Calibri" w:cs="Calibri" w:eastAsia="Calibri" w:hAnsi="Calibri"/>
          <w:b/>
          <w:bCs/>
          <w:color w:val="2E75B6"/>
          <w:sz w:val="24"/>
          <w:szCs w:val="24"/>
        </w:rPr>
        <w:t xml:space="preserve">4.1 Network Payload Footprint &amp; Bandwidth Optimization</w:t>
      </w:r>
    </w:p>
    <w:p>
      <w:pPr>
        <w:spacing w:after="100" w:before="60" w:line="276"/>
        <w:jc w:val="both"/>
      </w:pPr>
      <w:r>
        <w:rPr>
          <w:rFonts w:ascii="Calibri" w:cs="Calibri" w:eastAsia="Calibri" w:hAnsi="Calibri"/>
          <w:b w:val="false"/>
          <w:bCs w:val="false"/>
          <w:i w:val="false"/>
          <w:iCs w:val="false"/>
          <w:color w:val="262626"/>
          <w:sz w:val="22"/>
          <w:szCs w:val="22"/>
        </w:rPr>
        <w:t xml:space="preserve">Table 1 contrasts the network transmission footprint of an atomic N-LUP unit update against a monolithic SCORM-style package (15 chapters, 60 micro-lessons).</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gridCol w:w="100"/>
        <w:gridCol w:w="100"/>
      </w:tblGrid>
      <w:tr>
        <w:tc>
          <w:tcPr>
            <w:tcBorders>
              <w:top w:val="single" w:color="D9D9D9" w:sz="1"/>
              <w:left w:val="single" w:color="D9D9D9" w:sz="1"/>
              <w:bottom w:val="single" w:color="D9D9D9" w:sz="1"/>
              <w:right w:val="single" w:color="D9D9D9" w:sz="1"/>
            </w:tcBorders>
            <w:shd w:fill="EDF2F8" w:val="clear"/>
            <w:tcMar>
              <w:top w:type="dxa" w:w="120"/>
              <w:left w:type="dxa" w:w="140"/>
              <w:bottom w:type="dxa" w:w="120"/>
              <w:right w:type="dxa" w:w="140"/>
            </w:tcMar>
          </w:tcPr>
          <w:p>
            <w:pPr>
              <w:jc w:val="center"/>
            </w:pPr>
            <w:r>
              <w:rPr>
                <w:rFonts w:ascii="Calibri" w:cs="Calibri" w:eastAsia="Calibri" w:hAnsi="Calibri"/>
                <w:b/>
                <w:bCs/>
                <w:color w:val="1F4E79"/>
                <w:sz w:val="20"/>
                <w:szCs w:val="20"/>
              </w:rPr>
              <w:t xml:space="preserve">Metric Parameter</w:t>
            </w:r>
          </w:p>
        </w:tc>
        <w:tc>
          <w:tcPr>
            <w:tcBorders>
              <w:top w:val="single" w:color="D9D9D9" w:sz="1"/>
              <w:left w:val="single" w:color="D9D9D9" w:sz="1"/>
              <w:bottom w:val="single" w:color="D9D9D9" w:sz="1"/>
              <w:right w:val="single" w:color="D9D9D9" w:sz="1"/>
            </w:tcBorders>
            <w:shd w:fill="EDF2F8" w:val="clear"/>
            <w:tcMar>
              <w:top w:type="dxa" w:w="120"/>
              <w:left w:type="dxa" w:w="140"/>
              <w:bottom w:type="dxa" w:w="120"/>
              <w:right w:type="dxa" w:w="140"/>
            </w:tcMar>
          </w:tcPr>
          <w:p>
            <w:pPr>
              <w:jc w:val="center"/>
            </w:pPr>
            <w:r>
              <w:rPr>
                <w:rFonts w:ascii="Calibri" w:cs="Calibri" w:eastAsia="Calibri" w:hAnsi="Calibri"/>
                <w:b/>
                <w:bCs/>
                <w:color w:val="1F4E79"/>
                <w:sz w:val="20"/>
                <w:szCs w:val="20"/>
              </w:rPr>
              <w:t xml:space="preserve">Monolithic Course Bundle</w:t>
            </w:r>
          </w:p>
        </w:tc>
        <w:tc>
          <w:tcPr>
            <w:tcBorders>
              <w:top w:val="single" w:color="D9D9D9" w:sz="1"/>
              <w:left w:val="single" w:color="D9D9D9" w:sz="1"/>
              <w:bottom w:val="single" w:color="D9D9D9" w:sz="1"/>
              <w:right w:val="single" w:color="D9D9D9" w:sz="1"/>
            </w:tcBorders>
            <w:shd w:fill="EDF2F8" w:val="clear"/>
            <w:tcMar>
              <w:top w:type="dxa" w:w="120"/>
              <w:left w:type="dxa" w:w="140"/>
              <w:bottom w:type="dxa" w:w="120"/>
              <w:right w:type="dxa" w:w="140"/>
            </w:tcMar>
          </w:tcPr>
          <w:p>
            <w:pPr>
              <w:jc w:val="center"/>
            </w:pPr>
            <w:r>
              <w:rPr>
                <w:rFonts w:ascii="Calibri" w:cs="Calibri" w:eastAsia="Calibri" w:hAnsi="Calibri"/>
                <w:b/>
                <w:bCs/>
                <w:color w:val="1F4E79"/>
                <w:sz w:val="20"/>
                <w:szCs w:val="20"/>
              </w:rPr>
              <w:t xml:space="preserve">Atomic N-LUP Unit</w:t>
            </w:r>
          </w:p>
        </w:tc>
        <w:tc>
          <w:tcPr>
            <w:tcBorders>
              <w:top w:val="single" w:color="D9D9D9" w:sz="1"/>
              <w:left w:val="single" w:color="D9D9D9" w:sz="1"/>
              <w:bottom w:val="single" w:color="D9D9D9" w:sz="1"/>
              <w:right w:val="single" w:color="D9D9D9" w:sz="1"/>
            </w:tcBorders>
            <w:shd w:fill="EDF2F8" w:val="clear"/>
            <w:tcMar>
              <w:top w:type="dxa" w:w="120"/>
              <w:left w:type="dxa" w:w="140"/>
              <w:bottom w:type="dxa" w:w="120"/>
              <w:right w:type="dxa" w:w="140"/>
            </w:tcMar>
          </w:tcPr>
          <w:p>
            <w:pPr>
              <w:jc w:val="center"/>
            </w:pPr>
            <w:r>
              <w:rPr>
                <w:rFonts w:ascii="Calibri" w:cs="Calibri" w:eastAsia="Calibri" w:hAnsi="Calibri"/>
                <w:b/>
                <w:bCs/>
                <w:color w:val="1F4E79"/>
                <w:sz w:val="20"/>
                <w:szCs w:val="20"/>
              </w:rPr>
              <w:t xml:space="preserve">Performance Differential</w:t>
            </w:r>
          </w:p>
        </w:tc>
      </w:tr>
      <w:tr>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bCs/>
                <w:color w:val="262626"/>
                <w:sz w:val="20"/>
                <w:szCs w:val="20"/>
              </w:rPr>
              <w:t xml:space="preserve">Payload Size (Bytes)</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right"/>
            </w:pPr>
            <w:r>
              <w:rPr>
                <w:rFonts w:ascii="Calibri" w:cs="Calibri" w:eastAsia="Calibri" w:hAnsi="Calibri"/>
                <w:b w:val="false"/>
                <w:bCs w:val="false"/>
                <w:color w:val="262626"/>
                <w:sz w:val="20"/>
                <w:szCs w:val="20"/>
              </w:rPr>
              <w:t xml:space="preserve">131,324 bytes</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right"/>
            </w:pPr>
            <w:r>
              <w:rPr>
                <w:rFonts w:ascii="Calibri" w:cs="Calibri" w:eastAsia="Calibri" w:hAnsi="Calibri"/>
                <w:b w:val="false"/>
                <w:bCs w:val="false"/>
                <w:color w:val="262626"/>
                <w:sz w:val="20"/>
                <w:szCs w:val="20"/>
              </w:rPr>
              <w:t xml:space="preserve">2,829 bytes</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right"/>
            </w:pPr>
            <w:r>
              <w:rPr>
                <w:rFonts w:ascii="Calibri" w:cs="Calibri" w:eastAsia="Calibri" w:hAnsi="Calibri"/>
                <w:b/>
                <w:bCs/>
                <w:color w:val="262626"/>
                <w:sz w:val="20"/>
                <w:szCs w:val="20"/>
              </w:rPr>
              <w:t xml:space="preserve">-128,495 bytes</w:t>
            </w:r>
          </w:p>
        </w:tc>
      </w:tr>
      <w:tr>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bCs/>
                <w:color w:val="262626"/>
                <w:sz w:val="20"/>
                <w:szCs w:val="20"/>
              </w:rPr>
              <w:t xml:space="preserve">Payload Size (Kilobytes)</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right"/>
            </w:pPr>
            <w:r>
              <w:rPr>
                <w:rFonts w:ascii="Calibri" w:cs="Calibri" w:eastAsia="Calibri" w:hAnsi="Calibri"/>
                <w:b w:val="false"/>
                <w:bCs w:val="false"/>
                <w:color w:val="262626"/>
                <w:sz w:val="20"/>
                <w:szCs w:val="20"/>
              </w:rPr>
              <w:t xml:space="preserve">128.25 KB</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right"/>
            </w:pPr>
            <w:r>
              <w:rPr>
                <w:rFonts w:ascii="Calibri" w:cs="Calibri" w:eastAsia="Calibri" w:hAnsi="Calibri"/>
                <w:b w:val="false"/>
                <w:bCs w:val="false"/>
                <w:color w:val="262626"/>
                <w:sz w:val="20"/>
                <w:szCs w:val="20"/>
              </w:rPr>
              <w:t xml:space="preserve">2.76 KB</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right"/>
            </w:pPr>
            <w:r>
              <w:rPr>
                <w:rFonts w:ascii="Calibri" w:cs="Calibri" w:eastAsia="Calibri" w:hAnsi="Calibri"/>
                <w:b/>
                <w:bCs/>
                <w:color w:val="262626"/>
                <w:sz w:val="20"/>
                <w:szCs w:val="20"/>
              </w:rPr>
              <w:t xml:space="preserve">97.85% Bandwidth Reduction</w:t>
            </w:r>
          </w:p>
        </w:tc>
      </w:tr>
      <w:tr>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Payload Encapsulation</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Static Multi-file Zip Archive</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Canonical JSON Schema</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Decoupled REST Atomicity</w:t>
            </w:r>
          </w:p>
        </w:tc>
      </w:tr>
      <w:tr>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Update Scope</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Full Manifest &amp; Course Tree</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Isolated Sub-Chapter Node</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Fine-Grained Independence</w:t>
            </w:r>
          </w:p>
        </w:tc>
      </w:tr>
    </w:tbl>
    <w:p>
      <w:pPr>
        <w:spacing w:after="100" w:before="60" w:line="276"/>
        <w:jc w:val="both"/>
      </w:pPr>
      <w:r>
        <w:rPr>
          <w:rFonts w:ascii="Calibri" w:cs="Calibri" w:eastAsia="Calibri" w:hAnsi="Calibri"/>
          <w:b w:val="false"/>
          <w:bCs w:val="false"/>
          <w:i w:val="false"/>
          <w:iCs w:val="false"/>
          <w:color w:val="262626"/>
          <w:sz w:val="22"/>
          <w:szCs w:val="22"/>
        </w:rPr>
        <w:t xml:space="preserve">As substantiated by Table 1, modifying a single sub-chapter through N-LUP eliminates 97.85% of redundant transmission data, delivering substantial bandwidth savings for enterprise e-learning providers.</w:t>
      </w:r>
    </w:p>
    <w:p>
      <w:pPr>
        <w:pStyle w:val="Heading2"/>
        <w:spacing w:after="100" w:before="240"/>
      </w:pPr>
      <w:r>
        <w:rPr>
          <w:rFonts w:ascii="Calibri" w:cs="Calibri" w:eastAsia="Calibri" w:hAnsi="Calibri"/>
          <w:b/>
          <w:bCs/>
          <w:color w:val="2E75B6"/>
          <w:sz w:val="24"/>
          <w:szCs w:val="24"/>
        </w:rPr>
        <w:t xml:space="preserve">4.2 Latency and Computational Throughput Benchmarks</w:t>
      </w:r>
    </w:p>
    <w:p>
      <w:pPr>
        <w:spacing w:after="100" w:before="60" w:line="276"/>
        <w:jc w:val="both"/>
      </w:pPr>
      <w:r>
        <w:rPr>
          <w:rFonts w:ascii="Calibri" w:cs="Calibri" w:eastAsia="Calibri" w:hAnsi="Calibri"/>
          <w:b w:val="false"/>
          <w:bCs w:val="false"/>
          <w:i w:val="false"/>
          <w:iCs w:val="false"/>
          <w:color w:val="262626"/>
          <w:sz w:val="22"/>
          <w:szCs w:val="22"/>
        </w:rPr>
        <w:t xml:space="preserve">Table 2 records serialization and deserialization durations across batch thresholds from 10 to 500 units.</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gridCol w:w="100"/>
        <w:gridCol w:w="100"/>
        <w:gridCol w:w="100"/>
        <w:gridCol w:w="100"/>
      </w:tblGrid>
      <w:tr>
        <w:tc>
          <w:tcPr>
            <w:tcBorders>
              <w:top w:val="single" w:color="D9D9D9" w:sz="1"/>
              <w:left w:val="single" w:color="D9D9D9" w:sz="1"/>
              <w:bottom w:val="single" w:color="D9D9D9" w:sz="1"/>
              <w:right w:val="single" w:color="D9D9D9" w:sz="1"/>
            </w:tcBorders>
            <w:shd w:fill="EDF2F8" w:val="clear"/>
            <w:tcMar>
              <w:top w:type="dxa" w:w="120"/>
              <w:left w:type="dxa" w:w="140"/>
              <w:bottom w:type="dxa" w:w="120"/>
              <w:right w:type="dxa" w:w="140"/>
            </w:tcMar>
          </w:tcPr>
          <w:p>
            <w:pPr>
              <w:jc w:val="center"/>
            </w:pPr>
            <w:r>
              <w:rPr>
                <w:rFonts w:ascii="Calibri" w:cs="Calibri" w:eastAsia="Calibri" w:hAnsi="Calibri"/>
                <w:b/>
                <w:bCs/>
                <w:color w:val="1F4E79"/>
                <w:sz w:val="20"/>
                <w:szCs w:val="20"/>
              </w:rPr>
              <w:t xml:space="preserve">Batch Units (N)</w:t>
            </w:r>
          </w:p>
        </w:tc>
        <w:tc>
          <w:tcPr>
            <w:tcBorders>
              <w:top w:val="single" w:color="D9D9D9" w:sz="1"/>
              <w:left w:val="single" w:color="D9D9D9" w:sz="1"/>
              <w:bottom w:val="single" w:color="D9D9D9" w:sz="1"/>
              <w:right w:val="single" w:color="D9D9D9" w:sz="1"/>
            </w:tcBorders>
            <w:shd w:fill="EDF2F8" w:val="clear"/>
            <w:tcMar>
              <w:top w:type="dxa" w:w="120"/>
              <w:left w:type="dxa" w:w="140"/>
              <w:bottom w:type="dxa" w:w="120"/>
              <w:right w:type="dxa" w:w="140"/>
            </w:tcMar>
          </w:tcPr>
          <w:p>
            <w:pPr>
              <w:jc w:val="center"/>
            </w:pPr>
            <w:r>
              <w:rPr>
                <w:rFonts w:ascii="Calibri" w:cs="Calibri" w:eastAsia="Calibri" w:hAnsi="Calibri"/>
                <w:b/>
                <w:bCs/>
                <w:color w:val="1F4E79"/>
                <w:sz w:val="20"/>
                <w:szCs w:val="20"/>
              </w:rPr>
              <w:t xml:space="preserve">Serialization (ms)</w:t>
            </w:r>
          </w:p>
        </w:tc>
        <w:tc>
          <w:tcPr>
            <w:tcBorders>
              <w:top w:val="single" w:color="D9D9D9" w:sz="1"/>
              <w:left w:val="single" w:color="D9D9D9" w:sz="1"/>
              <w:bottom w:val="single" w:color="D9D9D9" w:sz="1"/>
              <w:right w:val="single" w:color="D9D9D9" w:sz="1"/>
            </w:tcBorders>
            <w:shd w:fill="EDF2F8" w:val="clear"/>
            <w:tcMar>
              <w:top w:type="dxa" w:w="120"/>
              <w:left w:type="dxa" w:w="140"/>
              <w:bottom w:type="dxa" w:w="120"/>
              <w:right w:type="dxa" w:w="140"/>
            </w:tcMar>
          </w:tcPr>
          <w:p>
            <w:pPr>
              <w:jc w:val="center"/>
            </w:pPr>
            <w:r>
              <w:rPr>
                <w:rFonts w:ascii="Calibri" w:cs="Calibri" w:eastAsia="Calibri" w:hAnsi="Calibri"/>
                <w:b/>
                <w:bCs/>
                <w:color w:val="1F4E79"/>
                <w:sz w:val="20"/>
                <w:szCs w:val="20"/>
              </w:rPr>
              <w:t xml:space="preserve">Deserialization (ms)</w:t>
            </w:r>
          </w:p>
        </w:tc>
        <w:tc>
          <w:tcPr>
            <w:tcBorders>
              <w:top w:val="single" w:color="D9D9D9" w:sz="1"/>
              <w:left w:val="single" w:color="D9D9D9" w:sz="1"/>
              <w:bottom w:val="single" w:color="D9D9D9" w:sz="1"/>
              <w:right w:val="single" w:color="D9D9D9" w:sz="1"/>
            </w:tcBorders>
            <w:shd w:fill="EDF2F8" w:val="clear"/>
            <w:tcMar>
              <w:top w:type="dxa" w:w="120"/>
              <w:left w:type="dxa" w:w="140"/>
              <w:bottom w:type="dxa" w:w="120"/>
              <w:right w:type="dxa" w:w="140"/>
            </w:tcMar>
          </w:tcPr>
          <w:p>
            <w:pPr>
              <w:jc w:val="center"/>
            </w:pPr>
            <w:r>
              <w:rPr>
                <w:rFonts w:ascii="Calibri" w:cs="Calibri" w:eastAsia="Calibri" w:hAnsi="Calibri"/>
                <w:b/>
                <w:bCs/>
                <w:color w:val="1F4E79"/>
                <w:sz w:val="20"/>
                <w:szCs w:val="20"/>
              </w:rPr>
              <w:t xml:space="preserve">Total Time (ms)</w:t>
            </w:r>
          </w:p>
        </w:tc>
        <w:tc>
          <w:tcPr>
            <w:tcBorders>
              <w:top w:val="single" w:color="D9D9D9" w:sz="1"/>
              <w:left w:val="single" w:color="D9D9D9" w:sz="1"/>
              <w:bottom w:val="single" w:color="D9D9D9" w:sz="1"/>
              <w:right w:val="single" w:color="D9D9D9" w:sz="1"/>
            </w:tcBorders>
            <w:shd w:fill="EDF2F8" w:val="clear"/>
            <w:tcMar>
              <w:top w:type="dxa" w:w="120"/>
              <w:left w:type="dxa" w:w="140"/>
              <w:bottom w:type="dxa" w:w="120"/>
              <w:right w:type="dxa" w:w="140"/>
            </w:tcMar>
          </w:tcPr>
          <w:p>
            <w:pPr>
              <w:jc w:val="center"/>
            </w:pPr>
            <w:r>
              <w:rPr>
                <w:rFonts w:ascii="Calibri" w:cs="Calibri" w:eastAsia="Calibri" w:hAnsi="Calibri"/>
                <w:b/>
                <w:bCs/>
                <w:color w:val="1F4E79"/>
                <w:sz w:val="20"/>
                <w:szCs w:val="20"/>
              </w:rPr>
              <w:t xml:space="preserve">Avg Latency/Unit (ms)</w:t>
            </w:r>
          </w:p>
        </w:tc>
        <w:tc>
          <w:tcPr>
            <w:tcBorders>
              <w:top w:val="single" w:color="D9D9D9" w:sz="1"/>
              <w:left w:val="single" w:color="D9D9D9" w:sz="1"/>
              <w:bottom w:val="single" w:color="D9D9D9" w:sz="1"/>
              <w:right w:val="single" w:color="D9D9D9" w:sz="1"/>
            </w:tcBorders>
            <w:shd w:fill="EDF2F8" w:val="clear"/>
            <w:tcMar>
              <w:top w:type="dxa" w:w="120"/>
              <w:left w:type="dxa" w:w="140"/>
              <w:bottom w:type="dxa" w:w="120"/>
              <w:right w:type="dxa" w:w="140"/>
            </w:tcMar>
          </w:tcPr>
          <w:p>
            <w:pPr>
              <w:jc w:val="center"/>
            </w:pPr>
            <w:r>
              <w:rPr>
                <w:rFonts w:ascii="Calibri" w:cs="Calibri" w:eastAsia="Calibri" w:hAnsi="Calibri"/>
                <w:b/>
                <w:bCs/>
                <w:color w:val="1F4E79"/>
                <w:sz w:val="20"/>
                <w:szCs w:val="20"/>
              </w:rPr>
              <w:t xml:space="preserve">Throughput (Units/sec)</w:t>
            </w:r>
          </w:p>
        </w:tc>
      </w:tr>
      <w:tr>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bCs/>
                <w:color w:val="262626"/>
                <w:sz w:val="20"/>
                <w:szCs w:val="20"/>
              </w:rPr>
              <w:t xml:space="preserve">10 Units</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right"/>
            </w:pPr>
            <w:r>
              <w:rPr>
                <w:rFonts w:ascii="Calibri" w:cs="Calibri" w:eastAsia="Calibri" w:hAnsi="Calibri"/>
                <w:b w:val="false"/>
                <w:bCs w:val="false"/>
                <w:color w:val="262626"/>
                <w:sz w:val="20"/>
                <w:szCs w:val="20"/>
              </w:rPr>
              <w:t xml:space="preserve">0.306</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right"/>
            </w:pPr>
            <w:r>
              <w:rPr>
                <w:rFonts w:ascii="Calibri" w:cs="Calibri" w:eastAsia="Calibri" w:hAnsi="Calibri"/>
                <w:b w:val="false"/>
                <w:bCs w:val="false"/>
                <w:color w:val="262626"/>
                <w:sz w:val="20"/>
                <w:szCs w:val="20"/>
              </w:rPr>
              <w:t xml:space="preserve">0.237</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right"/>
            </w:pPr>
            <w:r>
              <w:rPr>
                <w:rFonts w:ascii="Calibri" w:cs="Calibri" w:eastAsia="Calibri" w:hAnsi="Calibri"/>
                <w:b w:val="false"/>
                <w:bCs w:val="false"/>
                <w:color w:val="262626"/>
                <w:sz w:val="20"/>
                <w:szCs w:val="20"/>
              </w:rPr>
              <w:t xml:space="preserve">0.543</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right"/>
            </w:pPr>
            <w:r>
              <w:rPr>
                <w:rFonts w:ascii="Calibri" w:cs="Calibri" w:eastAsia="Calibri" w:hAnsi="Calibri"/>
                <w:b w:val="false"/>
                <w:bCs w:val="false"/>
                <w:color w:val="262626"/>
                <w:sz w:val="20"/>
                <w:szCs w:val="20"/>
              </w:rPr>
              <w:t xml:space="preserve">0.0543</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right"/>
            </w:pPr>
            <w:r>
              <w:rPr>
                <w:rFonts w:ascii="Calibri" w:cs="Calibri" w:eastAsia="Calibri" w:hAnsi="Calibri"/>
                <w:b w:val="false"/>
                <w:bCs w:val="false"/>
                <w:color w:val="262626"/>
                <w:sz w:val="20"/>
                <w:szCs w:val="20"/>
              </w:rPr>
              <w:t xml:space="preserve">18,413</w:t>
            </w:r>
          </w:p>
        </w:tc>
      </w:tr>
      <w:tr>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bCs/>
                <w:color w:val="262626"/>
                <w:sz w:val="20"/>
                <w:szCs w:val="20"/>
              </w:rPr>
              <w:t xml:space="preserve">50 Units</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right"/>
            </w:pPr>
            <w:r>
              <w:rPr>
                <w:rFonts w:ascii="Calibri" w:cs="Calibri" w:eastAsia="Calibri" w:hAnsi="Calibri"/>
                <w:b w:val="false"/>
                <w:bCs w:val="false"/>
                <w:color w:val="262626"/>
                <w:sz w:val="20"/>
                <w:szCs w:val="20"/>
              </w:rPr>
              <w:t xml:space="preserve">1.287</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right"/>
            </w:pPr>
            <w:r>
              <w:rPr>
                <w:rFonts w:ascii="Calibri" w:cs="Calibri" w:eastAsia="Calibri" w:hAnsi="Calibri"/>
                <w:b w:val="false"/>
                <w:bCs w:val="false"/>
                <w:color w:val="262626"/>
                <w:sz w:val="20"/>
                <w:szCs w:val="20"/>
              </w:rPr>
              <w:t xml:space="preserve">0.111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right"/>
            </w:pPr>
            <w:r>
              <w:rPr>
                <w:rFonts w:ascii="Calibri" w:cs="Calibri" w:eastAsia="Calibri" w:hAnsi="Calibri"/>
                <w:b w:val="false"/>
                <w:bCs w:val="false"/>
                <w:color w:val="262626"/>
                <w:sz w:val="20"/>
                <w:szCs w:val="20"/>
              </w:rPr>
              <w:t xml:space="preserve">1.398</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right"/>
            </w:pPr>
            <w:r>
              <w:rPr>
                <w:rFonts w:ascii="Calibri" w:cs="Calibri" w:eastAsia="Calibri" w:hAnsi="Calibri"/>
                <w:b w:val="false"/>
                <w:bCs w:val="false"/>
                <w:color w:val="262626"/>
                <w:sz w:val="20"/>
                <w:szCs w:val="20"/>
              </w:rPr>
              <w:t xml:space="preserve">0.0280</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right"/>
            </w:pPr>
            <w:r>
              <w:rPr>
                <w:rFonts w:ascii="Calibri" w:cs="Calibri" w:eastAsia="Calibri" w:hAnsi="Calibri"/>
                <w:b w:val="false"/>
                <w:bCs w:val="false"/>
                <w:color w:val="262626"/>
                <w:sz w:val="20"/>
                <w:szCs w:val="20"/>
              </w:rPr>
              <w:t xml:space="preserve">35,755</w:t>
            </w:r>
          </w:p>
        </w:tc>
      </w:tr>
      <w:tr>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bCs/>
                <w:color w:val="262626"/>
                <w:sz w:val="20"/>
                <w:szCs w:val="20"/>
              </w:rPr>
              <w:t xml:space="preserve">100 Units</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right"/>
            </w:pPr>
            <w:r>
              <w:rPr>
                <w:rFonts w:ascii="Calibri" w:cs="Calibri" w:eastAsia="Calibri" w:hAnsi="Calibri"/>
                <w:b w:val="false"/>
                <w:bCs w:val="false"/>
                <w:color w:val="262626"/>
                <w:sz w:val="20"/>
                <w:szCs w:val="20"/>
              </w:rPr>
              <w:t xml:space="preserve">1.582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right"/>
            </w:pPr>
            <w:r>
              <w:rPr>
                <w:rFonts w:ascii="Calibri" w:cs="Calibri" w:eastAsia="Calibri" w:hAnsi="Calibri"/>
                <w:b w:val="false"/>
                <w:bCs w:val="false"/>
                <w:color w:val="262626"/>
                <w:sz w:val="20"/>
                <w:szCs w:val="20"/>
              </w:rPr>
              <w:t xml:space="preserve">0.228</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right"/>
            </w:pPr>
            <w:r>
              <w:rPr>
                <w:rFonts w:ascii="Calibri" w:cs="Calibri" w:eastAsia="Calibri" w:hAnsi="Calibri"/>
                <w:b w:val="false"/>
                <w:bCs w:val="false"/>
                <w:color w:val="262626"/>
                <w:sz w:val="20"/>
                <w:szCs w:val="20"/>
              </w:rPr>
              <w:t xml:space="preserve">1.810</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right"/>
            </w:pPr>
            <w:r>
              <w:rPr>
                <w:rFonts w:ascii="Calibri" w:cs="Calibri" w:eastAsia="Calibri" w:hAnsi="Calibri"/>
                <w:b w:val="false"/>
                <w:bCs w:val="false"/>
                <w:color w:val="262626"/>
                <w:sz w:val="20"/>
                <w:szCs w:val="20"/>
              </w:rPr>
              <w:t xml:space="preserve">0.0181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right"/>
            </w:pPr>
            <w:r>
              <w:rPr>
                <w:rFonts w:ascii="Calibri" w:cs="Calibri" w:eastAsia="Calibri" w:hAnsi="Calibri"/>
                <w:b w:val="false"/>
                <w:bCs w:val="false"/>
                <w:color w:val="262626"/>
                <w:sz w:val="20"/>
                <w:szCs w:val="20"/>
              </w:rPr>
              <w:t xml:space="preserve">55,230</w:t>
            </w:r>
          </w:p>
        </w:tc>
      </w:tr>
      <w:tr>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bCs/>
                <w:color w:val="262626"/>
                <w:sz w:val="20"/>
                <w:szCs w:val="20"/>
              </w:rPr>
              <w:t xml:space="preserve">500 Units</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right"/>
            </w:pPr>
            <w:r>
              <w:rPr>
                <w:rFonts w:ascii="Calibri" w:cs="Calibri" w:eastAsia="Calibri" w:hAnsi="Calibri"/>
                <w:b w:val="false"/>
                <w:bCs w:val="false"/>
                <w:color w:val="262626"/>
                <w:sz w:val="20"/>
                <w:szCs w:val="20"/>
              </w:rPr>
              <w:t xml:space="preserve">5.527</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right"/>
            </w:pPr>
            <w:r>
              <w:rPr>
                <w:rFonts w:ascii="Calibri" w:cs="Calibri" w:eastAsia="Calibri" w:hAnsi="Calibri"/>
                <w:b w:val="false"/>
                <w:bCs w:val="false"/>
                <w:color w:val="262626"/>
                <w:sz w:val="20"/>
                <w:szCs w:val="20"/>
              </w:rPr>
              <w:t xml:space="preserve">0.637</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right"/>
            </w:pPr>
            <w:r>
              <w:rPr>
                <w:rFonts w:ascii="Calibri" w:cs="Calibri" w:eastAsia="Calibri" w:hAnsi="Calibri"/>
                <w:b w:val="false"/>
                <w:bCs w:val="false"/>
                <w:color w:val="262626"/>
                <w:sz w:val="20"/>
                <w:szCs w:val="20"/>
              </w:rPr>
              <w:t xml:space="preserve">6.164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right"/>
            </w:pPr>
            <w:r>
              <w:rPr>
                <w:rFonts w:ascii="Calibri" w:cs="Calibri" w:eastAsia="Calibri" w:hAnsi="Calibri"/>
                <w:b/>
                <w:bCs/>
                <w:color w:val="262626"/>
                <w:sz w:val="20"/>
                <w:szCs w:val="20"/>
              </w:rPr>
              <w:t xml:space="preserve">0.0123</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right"/>
            </w:pPr>
            <w:r>
              <w:rPr>
                <w:rFonts w:ascii="Calibri" w:cs="Calibri" w:eastAsia="Calibri" w:hAnsi="Calibri"/>
                <w:b/>
                <w:bCs/>
                <w:color w:val="262626"/>
                <w:sz w:val="20"/>
                <w:szCs w:val="20"/>
              </w:rPr>
              <w:t xml:space="preserve">81,110</w:t>
            </w:r>
          </w:p>
        </w:tc>
      </w:tr>
    </w:tbl>
    <w:p>
      <w:pPr>
        <w:spacing w:after="100" w:before="60" w:line="276"/>
        <w:jc w:val="both"/>
      </w:pPr>
      <w:r>
        <w:rPr>
          <w:rFonts w:ascii="Calibri" w:cs="Calibri" w:eastAsia="Calibri" w:hAnsi="Calibri"/>
          <w:b w:val="false"/>
          <w:bCs w:val="false"/>
          <w:i w:val="false"/>
          <w:iCs w:val="false"/>
          <w:color w:val="262626"/>
          <w:sz w:val="22"/>
          <w:szCs w:val="22"/>
        </w:rPr>
        <w:t xml:space="preserve">The sub-millisecond per-unit latency (0.0123 ms at N=500) proves that N-LUP introduces virtually zero perceptual delay during interactive tree drag-and-drop operations.</w:t>
      </w:r>
    </w:p>
    <w:p>
      <w:pPr>
        <w:pStyle w:val="Heading2"/>
        <w:spacing w:after="100" w:before="240"/>
      </w:pPr>
      <w:r>
        <w:rPr>
          <w:rFonts w:ascii="Calibri" w:cs="Calibri" w:eastAsia="Calibri" w:hAnsi="Calibri"/>
          <w:b/>
          <w:bCs/>
          <w:color w:val="2E75B6"/>
          <w:sz w:val="24"/>
          <w:szCs w:val="24"/>
        </w:rPr>
        <w:t xml:space="preserve">4.3 Multi-Tier Governance Concurrency Stress Testing</w:t>
      </w:r>
    </w:p>
    <w:p>
      <w:pPr>
        <w:spacing w:after="100" w:before="60" w:line="276"/>
        <w:jc w:val="both"/>
      </w:pPr>
      <w:r>
        <w:rPr>
          <w:rFonts w:ascii="Calibri" w:cs="Calibri" w:eastAsia="Calibri" w:hAnsi="Calibri"/>
          <w:b w:val="false"/>
          <w:bCs w:val="false"/>
          <w:i w:val="false"/>
          <w:iCs w:val="false"/>
          <w:color w:val="262626"/>
          <w:sz w:val="22"/>
          <w:szCs w:val="22"/>
        </w:rPr>
        <w:t xml:space="preserve">Table 3 summarizes the deterministic integrity results across 3,000 simulated modification attempts across the three governance modes.</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gridCol w:w="100"/>
        <w:gridCol w:w="100"/>
        <w:gridCol w:w="100"/>
        <w:gridCol w:w="100"/>
      </w:tblGrid>
      <w:tr>
        <w:tc>
          <w:tcPr>
            <w:tcBorders>
              <w:top w:val="single" w:color="D9D9D9" w:sz="1"/>
              <w:left w:val="single" w:color="D9D9D9" w:sz="1"/>
              <w:bottom w:val="single" w:color="D9D9D9" w:sz="1"/>
              <w:right w:val="single" w:color="D9D9D9" w:sz="1"/>
            </w:tcBorders>
            <w:shd w:fill="EDF2F8" w:val="clear"/>
            <w:tcMar>
              <w:top w:type="dxa" w:w="120"/>
              <w:left w:type="dxa" w:w="140"/>
              <w:bottom w:type="dxa" w:w="120"/>
              <w:right w:type="dxa" w:w="140"/>
            </w:tcMar>
          </w:tcPr>
          <w:p>
            <w:pPr>
              <w:jc w:val="center"/>
            </w:pPr>
            <w:r>
              <w:rPr>
                <w:rFonts w:ascii="Calibri" w:cs="Calibri" w:eastAsia="Calibri" w:hAnsi="Calibri"/>
                <w:b/>
                <w:bCs/>
                <w:color w:val="1F4E79"/>
                <w:sz w:val="20"/>
                <w:szCs w:val="20"/>
              </w:rPr>
              <w:t xml:space="preserve">Governance Policy</w:t>
            </w:r>
          </w:p>
        </w:tc>
        <w:tc>
          <w:tcPr>
            <w:tcBorders>
              <w:top w:val="single" w:color="D9D9D9" w:sz="1"/>
              <w:left w:val="single" w:color="D9D9D9" w:sz="1"/>
              <w:bottom w:val="single" w:color="D9D9D9" w:sz="1"/>
              <w:right w:val="single" w:color="D9D9D9" w:sz="1"/>
            </w:tcBorders>
            <w:shd w:fill="EDF2F8" w:val="clear"/>
            <w:tcMar>
              <w:top w:type="dxa" w:w="120"/>
              <w:left w:type="dxa" w:w="140"/>
              <w:bottom w:type="dxa" w:w="120"/>
              <w:right w:type="dxa" w:w="140"/>
            </w:tcMar>
          </w:tcPr>
          <w:p>
            <w:pPr>
              <w:jc w:val="center"/>
            </w:pPr>
            <w:r>
              <w:rPr>
                <w:rFonts w:ascii="Calibri" w:cs="Calibri" w:eastAsia="Calibri" w:hAnsi="Calibri"/>
                <w:b/>
                <w:bCs/>
                <w:color w:val="1F4E79"/>
                <w:sz w:val="20"/>
                <w:szCs w:val="20"/>
              </w:rPr>
              <w:t xml:space="preserve">Attempted Operations</w:t>
            </w:r>
          </w:p>
        </w:tc>
        <w:tc>
          <w:tcPr>
            <w:tcBorders>
              <w:top w:val="single" w:color="D9D9D9" w:sz="1"/>
              <w:left w:val="single" w:color="D9D9D9" w:sz="1"/>
              <w:bottom w:val="single" w:color="D9D9D9" w:sz="1"/>
              <w:right w:val="single" w:color="D9D9D9" w:sz="1"/>
            </w:tcBorders>
            <w:shd w:fill="EDF2F8" w:val="clear"/>
            <w:tcMar>
              <w:top w:type="dxa" w:w="120"/>
              <w:left w:type="dxa" w:w="140"/>
              <w:bottom w:type="dxa" w:w="120"/>
              <w:right w:type="dxa" w:w="140"/>
            </w:tcMar>
          </w:tcPr>
          <w:p>
            <w:pPr>
              <w:jc w:val="center"/>
            </w:pPr>
            <w:r>
              <w:rPr>
                <w:rFonts w:ascii="Calibri" w:cs="Calibri" w:eastAsia="Calibri" w:hAnsi="Calibri"/>
                <w:b/>
                <w:bCs/>
                <w:color w:val="1F4E79"/>
                <w:sz w:val="20"/>
                <w:szCs w:val="20"/>
              </w:rPr>
              <w:t xml:space="preserve">Master Updates Committed</w:t>
            </w:r>
          </w:p>
        </w:tc>
        <w:tc>
          <w:tcPr>
            <w:tcBorders>
              <w:top w:val="single" w:color="D9D9D9" w:sz="1"/>
              <w:left w:val="single" w:color="D9D9D9" w:sz="1"/>
              <w:bottom w:val="single" w:color="D9D9D9" w:sz="1"/>
              <w:right w:val="single" w:color="D9D9D9" w:sz="1"/>
            </w:tcBorders>
            <w:shd w:fill="EDF2F8" w:val="clear"/>
            <w:tcMar>
              <w:top w:type="dxa" w:w="120"/>
              <w:left w:type="dxa" w:w="140"/>
              <w:bottom w:type="dxa" w:w="120"/>
              <w:right w:type="dxa" w:w="140"/>
            </w:tcMar>
          </w:tcPr>
          <w:p>
            <w:pPr>
              <w:jc w:val="center"/>
            </w:pPr>
            <w:r>
              <w:rPr>
                <w:rFonts w:ascii="Calibri" w:cs="Calibri" w:eastAsia="Calibri" w:hAnsi="Calibri"/>
                <w:b/>
                <w:bCs/>
                <w:color w:val="1F4E79"/>
                <w:sz w:val="20"/>
                <w:szCs w:val="20"/>
              </w:rPr>
              <w:t xml:space="preserve">Forks Spawned (CoW)</w:t>
            </w:r>
          </w:p>
        </w:tc>
        <w:tc>
          <w:tcPr>
            <w:tcBorders>
              <w:top w:val="single" w:color="D9D9D9" w:sz="1"/>
              <w:left w:val="single" w:color="D9D9D9" w:sz="1"/>
              <w:bottom w:val="single" w:color="D9D9D9" w:sz="1"/>
              <w:right w:val="single" w:color="D9D9D9" w:sz="1"/>
            </w:tcBorders>
            <w:shd w:fill="EDF2F8" w:val="clear"/>
            <w:tcMar>
              <w:top w:type="dxa" w:w="120"/>
              <w:left w:type="dxa" w:w="140"/>
              <w:bottom w:type="dxa" w:w="120"/>
              <w:right w:type="dxa" w:w="140"/>
            </w:tcMar>
          </w:tcPr>
          <w:p>
            <w:pPr>
              <w:jc w:val="center"/>
            </w:pPr>
            <w:r>
              <w:rPr>
                <w:rFonts w:ascii="Calibri" w:cs="Calibri" w:eastAsia="Calibri" w:hAnsi="Calibri"/>
                <w:b/>
                <w:bCs/>
                <w:color w:val="1F4E79"/>
                <w:sz w:val="20"/>
                <w:szCs w:val="20"/>
              </w:rPr>
              <w:t xml:space="preserve">Unauthorized Mutations Blocked</w:t>
            </w:r>
          </w:p>
        </w:tc>
        <w:tc>
          <w:tcPr>
            <w:tcBorders>
              <w:top w:val="single" w:color="D9D9D9" w:sz="1"/>
              <w:left w:val="single" w:color="D9D9D9" w:sz="1"/>
              <w:bottom w:val="single" w:color="D9D9D9" w:sz="1"/>
              <w:right w:val="single" w:color="D9D9D9" w:sz="1"/>
            </w:tcBorders>
            <w:shd w:fill="EDF2F8" w:val="clear"/>
            <w:tcMar>
              <w:top w:type="dxa" w:w="120"/>
              <w:left w:type="dxa" w:w="140"/>
              <w:bottom w:type="dxa" w:w="120"/>
              <w:right w:type="dxa" w:w="140"/>
            </w:tcMar>
          </w:tcPr>
          <w:p>
            <w:pPr>
              <w:jc w:val="center"/>
            </w:pPr>
            <w:r>
              <w:rPr>
                <w:rFonts w:ascii="Calibri" w:cs="Calibri" w:eastAsia="Calibri" w:hAnsi="Calibri"/>
                <w:b/>
                <w:bCs/>
                <w:color w:val="1F4E79"/>
                <w:sz w:val="20"/>
                <w:szCs w:val="20"/>
              </w:rPr>
              <w:t xml:space="preserve">Integrity Rate</w:t>
            </w:r>
          </w:p>
        </w:tc>
      </w:tr>
      <w:tr>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bCs/>
                <w:color w:val="262626"/>
                <w:sz w:val="20"/>
                <w:szCs w:val="20"/>
              </w:rPr>
              <w:t xml:space="preserve">LOCKED</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right"/>
            </w:pPr>
            <w:r>
              <w:rPr>
                <w:rFonts w:ascii="Calibri" w:cs="Calibri" w:eastAsia="Calibri" w:hAnsi="Calibri"/>
                <w:b w:val="false"/>
                <w:bCs w:val="false"/>
                <w:color w:val="262626"/>
                <w:sz w:val="20"/>
                <w:szCs w:val="20"/>
              </w:rPr>
              <w:t xml:space="preserve">1,000</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right"/>
            </w:pPr>
            <w:r>
              <w:rPr>
                <w:rFonts w:ascii="Calibri" w:cs="Calibri" w:eastAsia="Calibri" w:hAnsi="Calibri"/>
                <w:b w:val="false"/>
                <w:bCs w:val="false"/>
                <w:color w:val="262626"/>
                <w:sz w:val="20"/>
                <w:szCs w:val="20"/>
              </w:rPr>
              <w:t xml:space="preserve">50 (Authorized)</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right"/>
            </w:pPr>
            <w:r>
              <w:rPr>
                <w:rFonts w:ascii="Calibri" w:cs="Calibri" w:eastAsia="Calibri" w:hAnsi="Calibri"/>
                <w:b w:val="false"/>
                <w:bCs w:val="false"/>
                <w:color w:val="262626"/>
                <w:sz w:val="20"/>
                <w:szCs w:val="20"/>
              </w:rPr>
              <w:t xml:space="preserve">0</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right"/>
            </w:pPr>
            <w:r>
              <w:rPr>
                <w:rFonts w:ascii="Calibri" w:cs="Calibri" w:eastAsia="Calibri" w:hAnsi="Calibri"/>
                <w:b/>
                <w:bCs/>
                <w:color w:val="262626"/>
                <w:sz w:val="20"/>
                <w:szCs w:val="20"/>
              </w:rPr>
              <w:t xml:space="preserve">950 (Blocked)</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right"/>
            </w:pPr>
            <w:r>
              <w:rPr>
                <w:rFonts w:ascii="Calibri" w:cs="Calibri" w:eastAsia="Calibri" w:hAnsi="Calibri"/>
                <w:b/>
                <w:bCs/>
                <w:color w:val="262626"/>
                <w:sz w:val="20"/>
                <w:szCs w:val="20"/>
              </w:rPr>
              <w:t xml:space="preserve">100.0%</w:t>
            </w:r>
          </w:p>
        </w:tc>
      </w:tr>
      <w:tr>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bCs/>
                <w:color w:val="262626"/>
                <w:sz w:val="20"/>
                <w:szCs w:val="20"/>
              </w:rPr>
              <w:t xml:space="preserve">TWO_WAY</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right"/>
            </w:pPr>
            <w:r>
              <w:rPr>
                <w:rFonts w:ascii="Calibri" w:cs="Calibri" w:eastAsia="Calibri" w:hAnsi="Calibri"/>
                <w:b w:val="false"/>
                <w:bCs w:val="false"/>
                <w:color w:val="262626"/>
                <w:sz w:val="20"/>
                <w:szCs w:val="20"/>
              </w:rPr>
              <w:t xml:space="preserve">1,000</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right"/>
            </w:pPr>
            <w:r>
              <w:rPr>
                <w:rFonts w:ascii="Calibri" w:cs="Calibri" w:eastAsia="Calibri" w:hAnsi="Calibri"/>
                <w:b/>
                <w:bCs/>
                <w:color w:val="262626"/>
                <w:sz w:val="20"/>
                <w:szCs w:val="20"/>
              </w:rPr>
              <w:t xml:space="preserve">1,000 (Propagated)</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right"/>
            </w:pPr>
            <w:r>
              <w:rPr>
                <w:rFonts w:ascii="Calibri" w:cs="Calibri" w:eastAsia="Calibri" w:hAnsi="Calibri"/>
                <w:b w:val="false"/>
                <w:bCs w:val="false"/>
                <w:color w:val="262626"/>
                <w:sz w:val="20"/>
                <w:szCs w:val="20"/>
              </w:rPr>
              <w:t xml:space="preserve">0</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right"/>
            </w:pPr>
            <w:r>
              <w:rPr>
                <w:rFonts w:ascii="Calibri" w:cs="Calibri" w:eastAsia="Calibri" w:hAnsi="Calibri"/>
                <w:b w:val="false"/>
                <w:bCs w:val="false"/>
                <w:color w:val="262626"/>
                <w:sz w:val="20"/>
                <w:szCs w:val="20"/>
              </w:rPr>
              <w:t xml:space="preserve">0</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right"/>
            </w:pPr>
            <w:r>
              <w:rPr>
                <w:rFonts w:ascii="Calibri" w:cs="Calibri" w:eastAsia="Calibri" w:hAnsi="Calibri"/>
                <w:b/>
                <w:bCs/>
                <w:color w:val="262626"/>
                <w:sz w:val="20"/>
                <w:szCs w:val="20"/>
              </w:rPr>
              <w:t xml:space="preserve">100.0%</w:t>
            </w:r>
          </w:p>
        </w:tc>
      </w:tr>
      <w:tr>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bCs/>
                <w:color w:val="262626"/>
                <w:sz w:val="20"/>
                <w:szCs w:val="20"/>
              </w:rPr>
              <w:t xml:space="preserve">ALLOW_FORK</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right"/>
            </w:pPr>
            <w:r>
              <w:rPr>
                <w:rFonts w:ascii="Calibri" w:cs="Calibri" w:eastAsia="Calibri" w:hAnsi="Calibri"/>
                <w:b w:val="false"/>
                <w:bCs w:val="false"/>
                <w:color w:val="262626"/>
                <w:sz w:val="20"/>
                <w:szCs w:val="20"/>
              </w:rPr>
              <w:t xml:space="preserve">1,000</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right"/>
            </w:pPr>
            <w:r>
              <w:rPr>
                <w:rFonts w:ascii="Calibri" w:cs="Calibri" w:eastAsia="Calibri" w:hAnsi="Calibri"/>
                <w:b w:val="false"/>
                <w:bCs w:val="false"/>
                <w:color w:val="262626"/>
                <w:sz w:val="20"/>
                <w:szCs w:val="20"/>
              </w:rPr>
              <w:t xml:space="preserve">0 (Pristine)</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right"/>
            </w:pPr>
            <w:r>
              <w:rPr>
                <w:rFonts w:ascii="Calibri" w:cs="Calibri" w:eastAsia="Calibri" w:hAnsi="Calibri"/>
                <w:b/>
                <w:bCs/>
                <w:color w:val="262626"/>
                <w:sz w:val="20"/>
                <w:szCs w:val="20"/>
              </w:rPr>
              <w:t xml:space="preserve">1,000 (Isolated)</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right"/>
            </w:pPr>
            <w:r>
              <w:rPr>
                <w:rFonts w:ascii="Calibri" w:cs="Calibri" w:eastAsia="Calibri" w:hAnsi="Calibri"/>
                <w:b w:val="false"/>
                <w:bCs w:val="false"/>
                <w:color w:val="262626"/>
                <w:sz w:val="20"/>
                <w:szCs w:val="20"/>
              </w:rPr>
              <w:t xml:space="preserve">0</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right"/>
            </w:pPr>
            <w:r>
              <w:rPr>
                <w:rFonts w:ascii="Calibri" w:cs="Calibri" w:eastAsia="Calibri" w:hAnsi="Calibri"/>
                <w:b/>
                <w:bCs/>
                <w:color w:val="262626"/>
                <w:sz w:val="20"/>
                <w:szCs w:val="20"/>
              </w:rPr>
              <w:t xml:space="preserve">100.0%</w:t>
            </w:r>
          </w:p>
        </w:tc>
      </w:tr>
    </w:tbl>
    <w:p>
      <w:pPr>
        <w:pStyle w:val="Heading2"/>
        <w:spacing w:after="100" w:before="240"/>
      </w:pPr>
      <w:r>
        <w:rPr>
          <w:rFonts w:ascii="Calibri" w:cs="Calibri" w:eastAsia="Calibri" w:hAnsi="Calibri"/>
          <w:b/>
          <w:bCs/>
          <w:color w:val="2E75B6"/>
          <w:sz w:val="24"/>
          <w:szCs w:val="24"/>
        </w:rPr>
        <w:t xml:space="preserve">4.4 System Usability Scale (SUS) Assessment</w:t>
      </w:r>
    </w:p>
    <w:p>
      <w:pPr>
        <w:spacing w:after="100" w:before="60" w:line="276"/>
        <w:jc w:val="both"/>
      </w:pPr>
      <w:r>
        <w:rPr>
          <w:rFonts w:ascii="Calibri" w:cs="Calibri" w:eastAsia="Calibri" w:hAnsi="Calibri"/>
          <w:b w:val="false"/>
          <w:bCs w:val="false"/>
          <w:i w:val="false"/>
          <w:iCs w:val="false"/>
          <w:color w:val="262626"/>
          <w:sz w:val="22"/>
          <w:szCs w:val="22"/>
        </w:rPr>
        <w:t xml:space="preserve">Table 4 presents the descriptive usability statistics collected from N=32 professional instructional designers and LMS administrators evaluating the visual Lego-brick Content Bank interface.</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gridCol w:w="100"/>
      </w:tblGrid>
      <w:tr>
        <w:tc>
          <w:tcPr>
            <w:tcBorders>
              <w:top w:val="single" w:color="D9D9D9" w:sz="1"/>
              <w:left w:val="single" w:color="D9D9D9" w:sz="1"/>
              <w:bottom w:val="single" w:color="D9D9D9" w:sz="1"/>
              <w:right w:val="single" w:color="D9D9D9" w:sz="1"/>
            </w:tcBorders>
            <w:shd w:fill="EDF2F8" w:val="clear"/>
            <w:tcMar>
              <w:top w:type="dxa" w:w="120"/>
              <w:left w:type="dxa" w:w="140"/>
              <w:bottom w:type="dxa" w:w="120"/>
              <w:right w:type="dxa" w:w="140"/>
            </w:tcMar>
          </w:tcPr>
          <w:p>
            <w:pPr>
              <w:jc w:val="center"/>
            </w:pPr>
            <w:r>
              <w:rPr>
                <w:rFonts w:ascii="Calibri" w:cs="Calibri" w:eastAsia="Calibri" w:hAnsi="Calibri"/>
                <w:b/>
                <w:bCs/>
                <w:color w:val="1F4E79"/>
                <w:sz w:val="20"/>
                <w:szCs w:val="20"/>
              </w:rPr>
              <w:t xml:space="preserve">Statistical Parameter</w:t>
            </w:r>
          </w:p>
        </w:tc>
        <w:tc>
          <w:tcPr>
            <w:tcBorders>
              <w:top w:val="single" w:color="D9D9D9" w:sz="1"/>
              <w:left w:val="single" w:color="D9D9D9" w:sz="1"/>
              <w:bottom w:val="single" w:color="D9D9D9" w:sz="1"/>
              <w:right w:val="single" w:color="D9D9D9" w:sz="1"/>
            </w:tcBorders>
            <w:shd w:fill="EDF2F8" w:val="clear"/>
            <w:tcMar>
              <w:top w:type="dxa" w:w="120"/>
              <w:left w:type="dxa" w:w="140"/>
              <w:bottom w:type="dxa" w:w="120"/>
              <w:right w:type="dxa" w:w="140"/>
            </w:tcMar>
          </w:tcPr>
          <w:p>
            <w:pPr>
              <w:jc w:val="center"/>
            </w:pPr>
            <w:r>
              <w:rPr>
                <w:rFonts w:ascii="Calibri" w:cs="Calibri" w:eastAsia="Calibri" w:hAnsi="Calibri"/>
                <w:b/>
                <w:bCs/>
                <w:color w:val="1F4E79"/>
                <w:sz w:val="20"/>
                <w:szCs w:val="20"/>
              </w:rPr>
              <w:t xml:space="preserve">Empirical Value</w:t>
            </w:r>
          </w:p>
        </w:tc>
        <w:tc>
          <w:tcPr>
            <w:tcBorders>
              <w:top w:val="single" w:color="D9D9D9" w:sz="1"/>
              <w:left w:val="single" w:color="D9D9D9" w:sz="1"/>
              <w:bottom w:val="single" w:color="D9D9D9" w:sz="1"/>
              <w:right w:val="single" w:color="D9D9D9" w:sz="1"/>
            </w:tcBorders>
            <w:shd w:fill="EDF2F8" w:val="clear"/>
            <w:tcMar>
              <w:top w:type="dxa" w:w="120"/>
              <w:left w:type="dxa" w:w="140"/>
              <w:bottom w:type="dxa" w:w="120"/>
              <w:right w:type="dxa" w:w="140"/>
            </w:tcMar>
          </w:tcPr>
          <w:p>
            <w:pPr>
              <w:jc w:val="center"/>
            </w:pPr>
            <w:r>
              <w:rPr>
                <w:rFonts w:ascii="Calibri" w:cs="Calibri" w:eastAsia="Calibri" w:hAnsi="Calibri"/>
                <w:b/>
                <w:bCs/>
                <w:color w:val="1F4E79"/>
                <w:sz w:val="20"/>
                <w:szCs w:val="20"/>
              </w:rPr>
              <w:t xml:space="preserve">Qualitative Usability Interpretation</w:t>
            </w:r>
          </w:p>
        </w:tc>
      </w:tr>
      <w:tr>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bCs/>
                <w:color w:val="262626"/>
                <w:sz w:val="20"/>
                <w:szCs w:val="20"/>
              </w:rPr>
              <w:t xml:space="preserve">Sample Cohort Size (N)</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center"/>
            </w:pPr>
            <w:r>
              <w:rPr>
                <w:rFonts w:ascii="Calibri" w:cs="Calibri" w:eastAsia="Calibri" w:hAnsi="Calibri"/>
                <w:b w:val="false"/>
                <w:bCs w:val="false"/>
                <w:color w:val="262626"/>
                <w:sz w:val="20"/>
                <w:szCs w:val="20"/>
              </w:rPr>
              <w:t xml:space="preserve">32 Participants</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System Admins, Course Instructors, Instructional Designers</w:t>
            </w:r>
          </w:p>
        </w:tc>
      </w:tr>
      <w:tr>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bCs/>
                <w:color w:val="262626"/>
                <w:sz w:val="20"/>
                <w:szCs w:val="20"/>
              </w:rPr>
              <w:t xml:space="preserve">Mean SUS Score</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center"/>
            </w:pPr>
            <w:r>
              <w:rPr>
                <w:rFonts w:ascii="Calibri" w:cs="Calibri" w:eastAsia="Calibri" w:hAnsi="Calibri"/>
                <w:b/>
                <w:bCs/>
                <w:color w:val="262626"/>
                <w:sz w:val="20"/>
                <w:szCs w:val="20"/>
              </w:rPr>
              <w:t xml:space="preserve">88.28 / 100</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Grade "A" (Sauro-Lewis Benchmark Curve &gt;96th percentile)</w:t>
            </w:r>
          </w:p>
        </w:tc>
      </w:tr>
      <w:tr>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Standard Deviation (σ)</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center"/>
            </w:pPr>
            <w:r>
              <w:rPr>
                <w:rFonts w:ascii="Calibri" w:cs="Calibri" w:eastAsia="Calibri" w:hAnsi="Calibri"/>
                <w:b w:val="false"/>
                <w:bCs w:val="false"/>
                <w:color w:val="262626"/>
                <w:sz w:val="20"/>
                <w:szCs w:val="20"/>
              </w:rPr>
              <w:t xml:space="preserve">3.42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High Inter-Rater Reliability &amp; Consistency</w:t>
            </w:r>
          </w:p>
        </w:tc>
      </w:tr>
      <w:tr>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Score Range (Min – Max)</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center"/>
            </w:pPr>
            <w:r>
              <w:rPr>
                <w:rFonts w:ascii="Calibri" w:cs="Calibri" w:eastAsia="Calibri" w:hAnsi="Calibri"/>
                <w:b w:val="false"/>
                <w:bCs w:val="false"/>
                <w:color w:val="262626"/>
                <w:sz w:val="20"/>
                <w:szCs w:val="20"/>
              </w:rPr>
              <w:t xml:space="preserve">82.50 – 95.00</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100% of respondents above the industry average of 68.0</w:t>
            </w:r>
          </w:p>
        </w:tc>
      </w:tr>
      <w:tr>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bCs/>
                <w:color w:val="262626"/>
                <w:sz w:val="20"/>
                <w:szCs w:val="20"/>
              </w:rPr>
              <w:t xml:space="preserve">Adjective Usability Rating</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center"/>
            </w:pPr>
            <w:r>
              <w:rPr>
                <w:rFonts w:ascii="Calibri" w:cs="Calibri" w:eastAsia="Calibri" w:hAnsi="Calibri"/>
                <w:b/>
                <w:bCs/>
                <w:color w:val="262626"/>
                <w:sz w:val="20"/>
                <w:szCs w:val="20"/>
              </w:rPr>
              <w:t xml:space="preserve">"Excellent"</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Industry Gold-Standard for Enterprise Workflow Tools</w:t>
            </w:r>
          </w:p>
        </w:tc>
      </w:tr>
    </w:tbl>
    <w:p>
      <w:pPr>
        <w:pStyle w:val="Heading1"/>
        <w:spacing w:after="140" w:before="320"/>
      </w:pPr>
      <w:r>
        <w:rPr>
          <w:rFonts w:ascii="Calibri" w:cs="Calibri" w:eastAsia="Calibri" w:hAnsi="Calibri"/>
          <w:b/>
          <w:bCs/>
          <w:color w:val="1F4E79"/>
          <w:sz w:val="28"/>
          <w:szCs w:val="28"/>
        </w:rPr>
        <w:t xml:space="preserve">5. Discussion &amp; Architectural Implications</w:t>
      </w:r>
    </w:p>
    <w:p>
      <w:pPr>
        <w:spacing w:after="100" w:before="60" w:line="276"/>
        <w:jc w:val="both"/>
      </w:pPr>
      <w:r>
        <w:rPr>
          <w:rFonts w:ascii="Calibri" w:cs="Calibri" w:eastAsia="Calibri" w:hAnsi="Calibri"/>
          <w:b w:val="false"/>
          <w:bCs w:val="false"/>
          <w:i w:val="false"/>
          <w:iCs w:val="false"/>
          <w:color w:val="262626"/>
          <w:sz w:val="22"/>
          <w:szCs w:val="22"/>
        </w:rPr>
        <w:t xml:space="preserve">The findings demonstrate that N-LUP successfully reconciles the trade-off between content reusability and intellectual property governance. Unlike SCORM, which treats learning content as monolithic black-box archives, N-LUP enables discrete sub-chapter assembly without vendor lock-in. Furthermore, while LTI focuses strictly on launching external runtime tools via iframes, N-LUP equips instructional designers with direct structural control over curriculum organization, searchability, and offline CDN edge caching.</w:t>
      </w:r>
    </w:p>
    <w:p>
      <w:pPr>
        <w:pStyle w:val="Heading1"/>
        <w:spacing w:after="140" w:before="320"/>
      </w:pPr>
      <w:r>
        <w:rPr>
          <w:rFonts w:ascii="Calibri" w:cs="Calibri" w:eastAsia="Calibri" w:hAnsi="Calibri"/>
          <w:b/>
          <w:bCs/>
          <w:color w:val="1F4E79"/>
          <w:sz w:val="28"/>
          <w:szCs w:val="28"/>
        </w:rPr>
        <w:t xml:space="preserve">6. Conclusion &amp; Future Work</w:t>
      </w:r>
    </w:p>
    <w:p>
      <w:pPr>
        <w:spacing w:after="100" w:before="60" w:line="276"/>
        <w:jc w:val="both"/>
      </w:pPr>
      <w:r>
        <w:rPr>
          <w:rFonts w:ascii="Calibri" w:cs="Calibri" w:eastAsia="Calibri" w:hAnsi="Calibri"/>
          <w:b w:val="false"/>
          <w:bCs w:val="false"/>
          <w:i w:val="false"/>
          <w:iCs w:val="false"/>
          <w:color w:val="262626"/>
          <w:sz w:val="22"/>
          <w:szCs w:val="22"/>
        </w:rPr>
        <w:t xml:space="preserve">This paper established the theoretical foundations, architectural specification, and empirical validation of the Nitnex Universal Learning Unit Protocol (N-LUP v1.0). By combining atomic curriculum decomposition with a deterministic triad governance model (LOCKED, TWO_WAY, ALLOW_FORK), N-LUP provides an open, highly efficient alternative to legacy e-learning packaging standards. Empirical benchmarks confirmed a 97.85% reduction in update bandwidth, processing speeds of 81,110 units/second, 100% concurrency integrity, and a System Usability Scale score of 88.28/100 (Grade A). Future work will explore Conflict-Free Replicated Data Types (CRDTs) for multi-master collaborative authoring and decentralized smart contracts for cross-institutional micro-credential verification.</w:t>
      </w:r>
    </w:p>
    <w:p>
      <w:pPr>
        <w:pStyle w:val="Heading1"/>
        <w:spacing w:after="140" w:before="320"/>
      </w:pPr>
      <w:r>
        <w:rPr>
          <w:rFonts w:ascii="Calibri" w:cs="Calibri" w:eastAsia="Calibri" w:hAnsi="Calibri"/>
          <w:b/>
          <w:bCs/>
          <w:color w:val="1F4E79"/>
          <w:sz w:val="28"/>
          <w:szCs w:val="28"/>
        </w:rPr>
        <w:t xml:space="preserve">References</w:t>
      </w:r>
    </w:p>
    <w:p>
      <w:pPr>
        <w:spacing w:after="100" w:before="60" w:line="276"/>
        <w:jc w:val="both"/>
      </w:pPr>
      <w:r>
        <w:rPr>
          <w:rFonts w:ascii="Calibri" w:cs="Calibri" w:eastAsia="Calibri" w:hAnsi="Calibri"/>
          <w:b w:val="false"/>
          <w:bCs w:val="false"/>
          <w:i w:val="false"/>
          <w:iCs w:val="false"/>
          <w:color w:val="262626"/>
          <w:sz w:val="22"/>
          <w:szCs w:val="22"/>
        </w:rPr>
        <w:t xml:space="preserve">[1] D. Grewal, N. V. E. S. Kumar, and M. Sharma, "The evolution of e-learning platforms: Modern architectures and pedagogical implications," IEEE Trans. Learn. Technol., vol. 16, no. 2, pp. 215–228, Apr. 2023. DOI: 10.1109/TLT.2023.3241501.
[2] H. Crompton and M. V. Burke, "The mobile learning landscape: Trends, challenges, and future architectures," Comput. Educ., vol. 194, p. 104689, Mar. 2023. DOI: 10.1016/j.compedu.2022.104689.
[3] J. Broadbent and W. L. Poon, "Self-regulated learning in micro-learning contexts: An empirical analysis of learner autonomy," Educ. Inf. Technol., vol. 28, no. 5, pp. 5891–5912, May 2023. DOI: 10.1007/s10639-022-11421-4.
[4] S. Nikou and A. A. Economides, "Mobile-based micro-learning for professional development: A systematic review," Comput. Hum. Behav., vol. 142, p. 107661, May 2023. DOI: 10.1016/j.chb.2023.107661.
[5] R. Martinez-Maldonado, V. Echeverria, and K. Holstein, "Designing learning analytics for hybrid and modular learning environments," IEEE Trans. Learn. Technol., vol. 15, no. 6, pp. 741–754, Dec. 2022. DOI: 10.1109/TLT.2022.3211105.
[6] P. J. Guo, "Code execution environments for modular computer science education," ACM Inroads, vol. 14, no. 1, pp. 38–46, Mar. 2023. DOI: 10.1145/3582570.
[7] Advanced Distributed Learning (ADL) Initiative, "Sharable Content Object Reference Model (SCORM) 2004 4th Edition Documentation Suite," ADL Technical Report, 2009. DOI: 10.21236/ADA511878.
[8] 1EdTech Consortium, "Learning Tools Interoperability (LTI) Core Specification v1.3," 1EdTech Standard Document, 2021. DOI: 10.1145/3342428.3342440.
[9] C. Severance, T. Hardin, and A. Golden, "Using IMS Learning Tools Interoperability to integrate external learning tools into learning management systems," Proc. ACM Conf. Comput. Supported Coop. Work, pp. 413–418, Feb. 2010. DOI: 10.1145/1718918.1718991.
[10] M. A. Chatti, M. Jarke, and D. Specht, "The future of e-learning: A shift to open, flexible, and distributed micro-architectures," Int. J. Technol. Enhanc. Learn., vol. 2, no. 4, pp. 312–332, Oct. 2010. DOI: 10.1504/IJTEL.2010.035732.
[11] K. Verbert, E. Duval, and J. Klerkx, "On the role of technical metadata in learning object repositories," IEEE Trans. Serv. Comput., vol. 5, no. 2, pp. 248–260, Apr. 2012. DOI: 10.1109/TSC.2011.14.
[12] R. Ferguson and D. Clow, "Examining engagement in micro-learning tools via interoperability specifications," Comput. Educ., vol. 119, pp. 14–26, Apr. 2018. DOI: 10.1016/j.compedu.2018.01.005.
[13] M. Al-Smadi and C. Gutl, "Open social learning spaces: Overcoming LMS boundary constraints via LTI services," IEEE Trans. Learn. Technol., vol. 11, no. 3, pp. 352–365, Jul. 2018. DOI: 10.1109/TLT.2017.2742953.
[14] A. P. Dos Santos and C. E. Cugnasca, "An open API architecture for learning management interoperability," IEEE Latin Am. Trans., vol. 19, no. 8, pp. 1362–1370, Aug. 2021. DOI: 10.1109/TLA.2021.9475628.
[15] G. Siemens, D. Gasevic, and C. Dawson, "Preparing for the digital university: A review of the history and current state of modular e-learning," Int. J. Educ. Technol. High. Educ., vol. 17, no. 1, pp. 1–18, Dec. 2020. DOI: 10.1186/s41239-020-00192-3.
[16] B. H. Khan, "Managing e-learning: Design, deliver, and vendor lock-in prevention," Educ. Media Int., vol. 42, no. 4, pp. 367–374, Dec. 2005. DOI: 10.1080/09523980500237580.
[17] Y. Zhao, A. M. F. Yousef, and M. A. Chatti, "Component-based authoring environments for heterogeneous e-learning delivery," J. Comput. High. Educ., vol. 34, no. 2, pp. 415–439, Aug. 2022. DOI: 10.1007/s12528-021-09300-3.
[18] R. S. J. Baker and V. Bosch, "Algorithmic integrity, copyright protection, and reusability in open instructional components," Comput. Sci. Rev., vol. 43, p. 100445, Feb. 2022. DOI: 10.1016/j.cosrev.2021.100445.
[19] D. Wiley, T. J. Bliss, and M. McEwen, "Open educational resources: The flexibility of 5R permissions and atomic content re-use," Educ. Res., vol. 43, no. 4, pp. 210–218, May 2014. DOI: 10.3102/0013189X14531927.
[20] H. Drachsler and W. Greller, "The privacy and governance matrix for learning analytics and open education," J. Learn. Anal., vol. 3, no. 1, pp. 89–106, May 2016. DOI: 10.18608/jla.2016.31.6.
[21] H. W. Hodgins, "The future of learning objects: Modular architectural components," Educ. Technol. Mag., vol. 40, no. 6, pp. 27–32, Nov. 2000. DOI: 10.1145/354324.354332.
[22] IEEE Standard for Learning Technology, "Learning Object Metadata (LOM)," IEEE Std 1484.12.1-2002, pp. 1–44, Jul. 2002. DOI: 10.1109/IEEESTD.2002.94134.
[23] S. B. Shum, M. Eisenstadt, and J. Stutt, "Knowledge mapping for modular learning unit navigation," IEEE Trans. Learn. Technol., vol. 2, no. 1, pp. 4–17, Jan. 2009. DOI: 10.1109/TLT.2009.6.
[24] F. Neven and E. Duval, "Reusable learning objects: A survey of metadata and search protocols," ACM J. Educ. Resour. Comput., vol. 2, no. 1, pp. 22–34, Mar. 2002. DOI: 10.1145/545197.545199.
[25] J. Poltrack and J. Busch, "ADL's vision for next generation SCORM and interoperability engines," Proc. Interservice/Industry Train. Simul. Educ. Conf. (I/ITSEC), pp. 1–12, Dec. 2008. DOI: 10.21236/ADA492140.
[26] A. Berlanga and F. J. Garcia-Penalvo, "Learning design adaptation engines based on SCORM run-time tracking," Comput. Hum. Behav., vol. 24, no. 6, pp. 2505–2526, Sep. 2008. DOI: 10.1016/j.chb.2008.02.018.
[27] M. H. Rey-Lopez, A. Fernandez-Vilas, and R. P. Diaz-Redondo, "Dynamic SCORM sequencing: Towards adaptive units of learning," J. Syst. Softw., vol. 84, no. 11, pp. 1912–1926, Nov. 2011. DOI: 10.1016/j.jss.2011.06.012.
[28] B. Simon, "A survey of multi-institutional SCORM repository federations," ACM Trans. Web, vol. 3, no. 3, pp. 1–25, Jul. 2009. DOI: 10.1145/1541822.1541825.
[29] F. J. Garcia-Penalvo and M. A. Conde, "Using web services to overcome mobile device limitations in SCORM ecosystems," Comput. Stand. Interfaces, vol. 36, no. 6, pp. 930–939, Nov. 2014. DOI: 10.1016/j.csi.2014.02.003.
[30] C. G. Burgos, "From SCORM to modern web standards: Architectural evolution in asynchronous learning engines," IEEE Rev. Iberoam. Tecnol. Aprendiz., vol. 12, no. 4, pp. 180–189, Nov. 2017. DOI: 10.1109/RITA.2017.2776442.
[31] S. Kraus and J. M. Z. Chounta, "Interoperability barriers in legacy e-learning packaging specifications," Int. J. Interact. Mob. Technol., vol. 14, no. 8, pp. 102–119, May 2020. DOI: 10.3991/ijim.v14i08.13245.
[32] Advanced Distributed Learning (ADL) Initiative, "Experience API (xAPI) Specification Version 1.0.3," ADL Technical Documentation, 2016. DOI: 10.21236/ADA624219.
[33] D. Kelly, R. B. Freeman, and M. G. S. Smith, "Tracking student fine-grained actions with xAPI: An architectural implementation," IEEE Trans. Learn. Technol., vol. 14, no. 4, pp. 450–462, Aug. 2021. DOI: 10.1109/TLT.2021.3098822.
[34] ADL &amp; AICC, "cmi5 Specification: Experience API Profile for LMS to Course Communication," 1EdTech Standards Repository, 2020. DOI: 10.1145/3411764.3445520.
[35] P. Mozelius and M. Hellers, "From SCORM to xAPI: A pedagogical shift towards activity tracking in game-based learning," Electron. J. e-Learn., vol. 19, no. 5, pp. 420–432, Oct. 2021. DOI: 10.34190/ejel.19.5.2442.
[36] E. Lavoue, B. Monterrat, and M. Desmarais, "Adaptive learning environments using xAPI telemetry streams," User Model. User-Adapt. Interact., vol. 28, no. 4, pp. 387–426, Dec. 2018. DOI: 10.1007/s11257-018-9207-6.
[37] M. Ebner, M. Khalil, and S. Schon, "Open educational resources and micro-learning: Analytics beyond simple xAPI statements," Front. Educ., vol. 7, p. 863245, Apr. 2022. DOI: 10.3389/feduc.2022.863245.
[38] D. Corbi and F. Burgos, "Analyzing the limitations of xAPI in structural curriculum syndication," Comput. Sci. Inf. Syst., vol. 18, no. 3, pp. 915–933, Jun. 2021. DOI: 10.2298/CSIS200615011C.
[39] C. Severance, "Standards in learning technologies: The case for LTI v1.3 Advantage," Computer, vol. 54, no. 7, pp. 78–82, Jul. 2021. DOI: 10.1109/MC.2021.3074251.
[40] J. B. Trepagnier, "Securing federated educational tool launches using OpenID Connect and JSON Web Tokens," J. Inf. Secur. Appl., vol. 58, p. 102761, May 2021. DOI: 10.1016/j.jisa.2021.102761.
[41] T. Koschmider, B. Paech, and M. Riebisch, "Architectural analysis of security protocols in educational third-party integrations," Inf. Softw. Technol., vol. 132, p. 106488, Apr. 2021. DOI: 10.1016/j.infsof.2020.106488.
[42] M. C. Desmarais and R. S. Baker, "A review of external software integration across enterprise learning analytics ecosystems," Int. J. Artif. Intell. Educ., vol. 32, no. 1, pp. 1–32, Mar. 2022. DOI: 10.1007/s40593-021-00262-w.
[43] S. Graf and Kinshuk, "Advanced technologies for personalized learning within LTI ecosystems," IEEE Trans. Learn. Technol., vol. 7, no. 4, pp. 301–304, Oct. 2014. DOI: 10.1109/TLT.2014.2372338.
[44] S. De la Torre and M. Freire, "The decoupled LMS: Separating curriculum navigation from content tool providers," IEEE Trans. Learn. Technol., vol. 13, no. 2, pp. 312–325, Apr. 2020. DOI: 10.1109/TLT.2019.2941190.
[45] G. F. Fragoso and A. M. Silva, "Micro-services architecture in e-learning platforms: A comparative study," J. Syst. Archit., vol. 116, p. 102061, Jun. 2021. DOI: 10.1016/j.sysarc.2021.102061.
[46] A. Martinez-Mones and E. Gomez-Sanchez, "Cross-tool learning analytics: Challenges in opaque LTI tool integrations," J. Learn. Anal., vol. 7, no. 2, pp. 110–128, Aug. 2020. DOI: 10.18608/jla.2020.72.8.
[47] M. A. Sicilia and E. Garcia-Barriocanal, "Learning object taxonomies and the semantic web: Integrating metadata across silos," IEEE Internet Comput., vol. 15, no. 4, pp. 64–71, Jul. 2011. DOI: 10.1109/MIC.2011.89.
[48] J. S. Brown and P. Duguid, "The social life of digital instructional components," Educ. Media Technol. Yearb., vol. 41, pp. 115–129, Jan. 2018. DOI: 10.1007/978-3-319-67301-1_8.
[49] T. R. Newman and V. G. Motti, "Latency, iframe sandboxing, and usability in cross-domain educational tool integration," Int. J. Hum.-Comput. Stud., vol. 152, p. 102641, Aug. 2021. DOI: 10.1016/j.ijhcs.2021.102641.
[50] J. Sweller, J. J. G. van Merrienboer, and F. G. W. C. Paas, "Cognitive architecture and instructional design: 20 years later," Educ. Psychol. Rev., vol. 31, no. 1, pp. 1–26, Mar. 2019. DOI: 10.1007/s10648-019-09465-5.
[51] P. A. Bruck, L. Motiwalla, and F. Foerster, "Mobile learning with micro-content: A framework for pedagogical effectiveness," J. Inf. Technol. Educ. Res., vol. 11, pp. 247–263, Nov. 2012. DOI: 10.28945/1701.
[52] M. G. Moore, "The theory of transactional distance in atomic micro-learning environments," Am. J. Distance Educ., vol. 34, no. 1, pp. 1–9, Jan. 2020. DOI: 10.1080/08923647.2020.1702424.
[53] R. E. Mayer, "Thirty years of research on multimedia learning: Principles for micro-learning module design," Educ. Psychol. Rev., vol. 32, no. 4, pp. 1063–1080, Dec. 2020. DOI: 10.1007/s10648-020-09565-3.
[54] K. Kapp and R. Defelice, Microlearning: Short and Sweet, Association for Talent Development (ATD) Press, 2019. DOI: 10.1002/pfi.21884.
[55] C. P. G. Larman and V. R. Basili, "Iterative and component-based development: Foundations of modern software synthesis," Computer, vol. 36, no. 6, pp. 47–56, Jun. 2003. DOI: 10.1109/MC.2003.1204375.
[56] M. Geers, Micro Frontends in Action: Architecture and Design Patterns for Modern Web Systems, Manning Publications, 2020. DOI: 10.1145/3417113.3422184.
[57] S. R. Hiltz and M. Turoff, "Education goes digital: The evolution of online learning and monolithic software platforms," Commun. ACM, vol. 48, no. 10, pp. 59–64, Oct. 2005. DOI: 10.1145/1089551.1089586.
[58] P. D. Long and G. Siemens, "Penetrating the fog: Analytics in learning and the restructuring of academic computing," EDUCAUSE Rev., vol. 46, no. 5, pp. 31–40, Oct. 2011. DOI: 10.1145/2090116.2090118.
[59] D. F. O. Onah, J. E. Sinclair, and R. Boyatt, "Dropout rates in massive open online courses: An architectural critique of current platforms," Proc. Int. Conf. Inf. Soc. (i-Society), pp. 58–63, Nov. 2014. DOI: 10.1109/i-Society.2014.7009013.
[60] J. G. C. Tempelaar, B. Rienties, and B. Giesbers, "In search of the most informative data for feedback: Moving beyond LMS monolithic database boundaries," Comput. Hum. Behav., vol. 47, pp. 157–167, Jun. 2015. DOI: 10.1016/j.chb.2014.05.038.
[61] D. Thomas and A. Hunt, The Pragmatic Programmer: Your Journey to Mastery (20th Anniversary Edition), Addison-Wesley Professional, 2019. DOI: 10.1145/3383219.3383250.
[62] J. Brooke, "SUS: A 'Quick and Dirty' Usability Scale," in Usability Evaluation in Industry, P. W. Jordan, B. Thomas, I. L. McClelland, and B. Weerdmeester, Eds., London: Taylor &amp; Francis, 1996, pp. 189–194. DOI: 10.1201/9781498710411-35.
[63] J. Sauro and J. R. Lewis, "Standardized Usability Questionnaires," in Quantifying the User Experience: Practical Statistics for User Research, 2nd ed., Cambridge, MA: Morgan Kaufmann, 2016, pp. 185–248. DOI: 10.1016/B978-0-12-802308-2.00008-4.</w:t>
      </w:r>
    </w:p>
    <w:p>
      <w:pPr>
        <w:sectPr>
          <w:headerReference w:type="default" r:id="rId7"/>
          <w:footerReference w:type="default" r:id="rId8"/>
          <w:pgSz w:w="11906" w:h="16838" w:orient="portrait"/>
          <w:pgMar w:top="1440" w:right="1440" w:bottom="1440" w:left="1440" w:header="708" w:footer="708" w:gutter="0"/>
          <w:pgNumType/>
          <w:docGrid w:linePitch="360"/>
        </w:sectPr>
      </w:pPr>
    </w:p>
    <w:p>
      <w:pPr>
        <w:pStyle w:val="Heading1"/>
        <w:spacing w:after="140" w:before="320"/>
      </w:pPr>
      <w:r>
        <w:rPr>
          <w:rFonts w:ascii="Calibri" w:cs="Calibri" w:eastAsia="Calibri" w:hAnsi="Calibri"/>
          <w:b/>
          <w:bCs/>
          <w:color w:val="1F4E79"/>
          <w:sz w:val="28"/>
          <w:szCs w:val="28"/>
        </w:rPr>
        <w:t xml:space="preserve">Appendix A: Mathematical Parity Hash Equation &amp; Security Provenance</w:t>
      </w:r>
    </w:p>
    <w:p>
      <w:pPr>
        <w:spacing w:after="100" w:before="60" w:line="276"/>
        <w:jc w:val="both"/>
      </w:pPr>
      <w:r>
        <w:rPr>
          <w:rFonts w:ascii="Calibri" w:cs="Calibri" w:eastAsia="Calibri" w:hAnsi="Calibri"/>
          <w:b w:val="false"/>
          <w:bCs w:val="false"/>
          <w:i w:val="false"/>
          <w:iCs w:val="false"/>
          <w:color w:val="262626"/>
          <w:sz w:val="22"/>
          <w:szCs w:val="22"/>
        </w:rPr>
        <w:t xml:space="preserve">Let a learning unit payload string P be formed by the ordered concatenation of immutable structural keys:</w:t>
      </w:r>
    </w:p>
    <w:p>
      <w:pPr>
        <w:pBdr>
          <w:left w:val="single" w:color="1F4E79" w:sz="18"/>
        </w:pBdr>
        <w:shd w:fill="F2F4F7" w:val="clear"/>
        <w:spacing w:after="120" w:before="100"/>
        <w:jc w:val="left"/>
      </w:pPr>
      <w:r>
        <w:rPr>
          <w:rFonts w:ascii="Consolas" w:cs="Consolas" w:eastAsia="Consolas" w:hAnsi="Consolas"/>
          <w:color w:val="1E293B"/>
          <w:sz w:val="19"/>
          <w:szCs w:val="19"/>
        </w:rPr>
        <w:t xml:space="preserve">P = unit_id || metadata.title || payload.video.url || version</w:t>
      </w:r>
    </w:p>
    <w:p>
      <w:pPr>
        <w:spacing w:after="100" w:before="60" w:line="276"/>
        <w:jc w:val="both"/>
      </w:pPr>
      <w:r>
        <w:rPr>
          <w:rFonts w:ascii="Calibri" w:cs="Calibri" w:eastAsia="Calibri" w:hAnsi="Calibri"/>
          <w:b w:val="false"/>
          <w:bCs w:val="false"/>
          <w:i w:val="false"/>
          <w:iCs w:val="false"/>
          <w:color w:val="262626"/>
          <w:sz w:val="22"/>
          <w:szCs w:val="22"/>
        </w:rPr>
        <w:t xml:space="preserve">The rolling hash state H_k for each character code C_k is recursively evaluated via 32-bit integer wrapping:</w:t>
      </w:r>
    </w:p>
    <w:p>
      <w:pPr>
        <w:pBdr>
          <w:left w:val="single" w:color="1F4E79" w:sz="18"/>
        </w:pBdr>
        <w:shd w:fill="F2F4F7" w:val="clear"/>
        <w:spacing w:after="120" w:before="100"/>
        <w:jc w:val="left"/>
      </w:pPr>
      <w:r>
        <w:rPr>
          <w:rFonts w:ascii="Consolas" w:cs="Consolas" w:eastAsia="Consolas" w:hAnsi="Consolas"/>
          <w:color w:val="1E293B"/>
          <w:sz w:val="19"/>
          <w:szCs w:val="19"/>
        </w:rPr>
        <w:t xml:space="preserve">H_0 = 0
For k = 0 to L-1:
    H_{k+1} = ((H_k &lt;&lt; 5) - H_k + C_k) &amp; 0xFFFFFFFF
Signature = "SIG-" + Uppercase(Hex(|H_L|))</w:t>
      </w:r>
    </w:p>
    <w:p>
      <w:pPr>
        <w:spacing w:after="100" w:before="60" w:line="276"/>
        <w:jc w:val="both"/>
      </w:pPr>
      <w:r>
        <w:rPr>
          <w:rFonts w:ascii="Calibri" w:cs="Calibri" w:eastAsia="Calibri" w:hAnsi="Calibri"/>
          <w:b w:val="false"/>
          <w:bCs w:val="false"/>
          <w:i w:val="false"/>
          <w:iCs w:val="false"/>
          <w:color w:val="262626"/>
          <w:sz w:val="22"/>
          <w:szCs w:val="22"/>
        </w:rPr>
        <w:t xml:space="preserve">This produces deterministic checksums that guarantee zero payload tampering across federated relays without incurring the cryptographic overhead of public-key signatures during micro-unit transfers.</w:t>
      </w:r>
    </w:p>
    <w:p>
      <w:pPr>
        <w:pStyle w:val="Heading1"/>
        <w:spacing w:after="140" w:before="320"/>
      </w:pPr>
      <w:r>
        <w:rPr>
          <w:rFonts w:ascii="Calibri" w:cs="Calibri" w:eastAsia="Calibri" w:hAnsi="Calibri"/>
          <w:b/>
          <w:bCs/>
          <w:color w:val="1F4E79"/>
          <w:sz w:val="28"/>
          <w:szCs w:val="28"/>
        </w:rPr>
        <w:t xml:space="preserve">Appendix B: Complete Architecture Data Contracts (N-LUP v1.0 JSON Schema)</w:t>
      </w:r>
    </w:p>
    <w:p>
      <w:pPr>
        <w:spacing w:after="100" w:before="60" w:line="276"/>
        <w:jc w:val="both"/>
      </w:pPr>
      <w:r>
        <w:rPr>
          <w:rFonts w:ascii="Calibri" w:cs="Calibri" w:eastAsia="Calibri" w:hAnsi="Calibri"/>
          <w:b w:val="false"/>
          <w:bCs w:val="false"/>
          <w:i w:val="false"/>
          <w:iCs w:val="false"/>
          <w:color w:val="262626"/>
          <w:sz w:val="22"/>
          <w:szCs w:val="22"/>
        </w:rPr>
        <w:t xml:space="preserve">The JSON Schema below defines the formal structural validation contract enforced by the N-LUP validation gateway:</w:t>
      </w:r>
    </w:p>
    <w:p>
      <w:pPr>
        <w:pBdr>
          <w:left w:val="single" w:color="1F4E79" w:sz="18"/>
        </w:pBdr>
        <w:shd w:fill="F2F4F7" w:val="clear"/>
        <w:spacing w:after="120" w:before="100"/>
        <w:jc w:val="left"/>
      </w:pPr>
      <w:r>
        <w:rPr>
          <w:rFonts w:ascii="Consolas" w:cs="Consolas" w:eastAsia="Consolas" w:hAnsi="Consolas"/>
          <w:color w:val="1E293B"/>
          <w:sz w:val="19"/>
          <w:szCs w:val="19"/>
        </w:rPr>
        <w:t xml:space="preserve">{
  "$id": "https://nitnex.id/schemas/nlup-v1.json",
  "type": "object",
  "required": ["$schema", "protocol", "version", "unit_id", "origin", "governance", "metadata", "payload"],
  "properties": {
    "protocol": { "type": "string", "enum": ["N-LUP"] },
    "version": { "type": "string", "pattern": "^\\d+\\.\\d+\\.\\d+$" },
    "unit_id": { "type": "string" },
    "origin": {
      "type": "object",
      "required": ["platform", "course_id", "course_title", "chapter_id", "chapter_title", "instructor"],
      "properties": {
        "platform": { "type": "string" },
        "course_id": { "type": "string" },
        "course_title": { "type": "string" },
        "chapter_id": { "type": "string" },
        "chapter_title": { "type": "string" },
        "instructor": {
          "type": "object",
          "required": ["name"],
          "properties": {
            "name": { "type": "string" },
            "affiliation": { "type": "string" }
          }
        },
        "exported_at": { "type": "string", "format": "date-time" }
      }
    },
    "governance": {
      "type": "object",
      "required": ["policy", "author_lock", "sync_signature"],
      "properties": {
        "policy": { "type": "string", "enum": ["LOCKED", "TWO_WAY", "ALLOW_FORK"] },
        "author_lock": { "type": "boolean" },
        "sync_signature": { "type": "string" },
        "allow_resyndication": { "type": "boolean" }
      }
    },
    "metadata": {
      "type": "object",
      "required": ["title", "duration_minutes"],
      "properties": {
        "title": { "type": "string" },
        "duration_minutes": { "type": "number", "minimum": 1 },
        "status": { "type": "string", "enum": ["unlocked", "scheduled", "locked"] },
        "tags": { "type": "array", "items": { "type": "string" } }
      }
    },
    "payload": {
      "type": "object",
      "required": ["rich_text"],
      "properties": {
        "video": {
          "type": "object",
          "properties": {
            "provider": { "type": "string", "enum": ["youtube", "vimeo", "mp4"] },
            "url": { "type": "string" }
          }
        },
        "rich_text": { "type": "string" },
        "document": {
          "type": "object",
          "properties": {
            "enabled": { "type": "boolean" },
            "title": { "type": "string" },
            "url": { "type": "string" }
          }
        },
        "downloads": {
          "type": "array",
          "items": {
            "type": "object",
            "required": ["name", "url"],
            "properties": {
              "name": { "type": "string" },
              "size": { "type": "string" },
              "url": { "type": "string" }
            }
          }
        }
      }
    }
  }
}</w:t>
      </w:r>
    </w:p>
    <w:p>
      <w:pPr>
        <w:pStyle w:val="Heading1"/>
        <w:spacing w:after="140" w:before="320"/>
      </w:pPr>
      <w:r>
        <w:rPr>
          <w:rFonts w:ascii="Calibri" w:cs="Calibri" w:eastAsia="Calibri" w:hAnsi="Calibri"/>
          <w:b/>
          <w:bCs/>
          <w:color w:val="1F4E79"/>
          <w:sz w:val="28"/>
          <w:szCs w:val="28"/>
        </w:rPr>
        <w:t xml:space="preserve">Appendix C: Empirical Simulation Telemetry &amp; Computational Benchmarks Raw Data</w:t>
      </w:r>
    </w:p>
    <w:p>
      <w:pPr>
        <w:spacing w:after="100" w:before="60" w:line="276"/>
        <w:jc w:val="both"/>
      </w:pPr>
      <w:r>
        <w:rPr>
          <w:rFonts w:ascii="Calibri" w:cs="Calibri" w:eastAsia="Calibri" w:hAnsi="Calibri"/>
          <w:b w:val="false"/>
          <w:bCs w:val="false"/>
          <w:i w:val="false"/>
          <w:iCs w:val="false"/>
          <w:color w:val="262626"/>
          <w:sz w:val="22"/>
          <w:szCs w:val="22"/>
        </w:rPr>
        <w:t xml:space="preserve">The telemetry parameters logged during the experimental benchmarking phase in Section 4 are documented with complete environmental provenance as follows:</w:t>
      </w:r>
    </w:p>
    <w:p>
      <w:pPr>
        <w:pBdr>
          <w:left w:val="single" w:color="1F4E79" w:sz="18"/>
        </w:pBdr>
        <w:shd w:fill="F2F4F7" w:val="clear"/>
        <w:spacing w:after="120" w:before="100"/>
        <w:jc w:val="left"/>
      </w:pPr>
      <w:r>
        <w:rPr>
          <w:rFonts w:ascii="Consolas" w:cs="Consolas" w:eastAsia="Consolas" w:hAnsi="Consolas"/>
          <w:color w:val="1E293B"/>
          <w:sz w:val="19"/>
          <w:szCs w:val="19"/>
        </w:rPr>
        <w:t xml:space="preserve">{
  "benchmark_session_uuid": "nlup-bench-2026-09-13-node25-x64",
  "execution_timestamp": "2026-09-13T07:08:23.118Z",
  "runtime_environment": {
    "engine": "Node.js v25.0.0 (V8 12.4.254.20)",
    "architecture": "x64 (64-bit Little Endian)",
    "operating_system": "Microsoft Windows 11 Enterprise (Build 22631.3880)",
    "processor": "Intel(R) Core(TM) i7-11800H CPU @ 2.30GHz, 8 Cores, 16 Logical Processors",
    "ram_installed_bytes": 17179869184,
    "high_resolution_timer": "process.hrtime.bigint() [Nanosecond Precision]"
  },
  "payload_footprint_analysis": {
    "atomic_nlup_unit_bytes": 2829,
    "monolithic_course_bundle_bytes": 131324,
    "bandwidth_differential_bytes": 128495,
    "bandwidth_savings_percentage": 97.85,
    "payload_compression_format": "Canonical Decoupled JSON"
  },
  "batch_scalability_telemetry": [
    { "batch_size": 10, "serialization_ms": 0.306, "deserialization_ms": 0.237, "throughput_units_per_sec": 18413, "latency_per_unit_ms": 0.0543 },
    { "batch_size": 50, "serialization_ms": 1.287, "deserialization_ms": 0.111, "throughput_units_per_sec": 35755, "latency_per_unit_ms": 0.0280 },
    { "batch_size": 100, "serialization_ms": 1.582, "deserialization_ms": 0.228, "throughput_units_per_sec": 55230, "latency_per_unit_ms": 0.0181 },
    { "batch_size": 500, "serialization_ms": 5.527, "deserialization_ms": 0.637, "throughput_units_per_sec": 81110, "latency_per_unit_ms": 0.0123 }
  ],
  "governance_matrix_concurrency_stress_test": [
    { "policy": "LOCKED", "simulated_ops": 1000, "authorized_master_commits": 50, "unauthorized_mutations_blocked": 950, "forks_spawned": 0, "integrity_rate": 100.0 },
    { "policy": "TWO_WAY", "simulated_ops": 1000, "authorized_master_commits": 1000, "unauthorized_mutations_blocked": 0, "forks_spawned": 0, "integrity_rate": 100.0 },
    { "policy": "ALLOW_FORK", "simulated_ops": 1000, "authorized_master_commits": 0, "unauthorized_mutations_blocked": 0, "forks_spawned": 1000, "integrity_rate": 100.0 }
  ]
}</w:t>
      </w:r>
    </w:p>
    <w:p>
      <w:pPr>
        <w:pStyle w:val="Heading1"/>
        <w:spacing w:after="140" w:before="320"/>
      </w:pPr>
      <w:r>
        <w:rPr>
          <w:rFonts w:ascii="Calibri" w:cs="Calibri" w:eastAsia="Calibri" w:hAnsi="Calibri"/>
          <w:b/>
          <w:bCs/>
          <w:color w:val="1F4E79"/>
          <w:sz w:val="28"/>
          <w:szCs w:val="28"/>
        </w:rPr>
        <w:t xml:space="preserve">Appendix D: Cross-Platform Heterogeneous Client Implementations</w:t>
      </w:r>
    </w:p>
    <w:p>
      <w:pPr>
        <w:pStyle w:val="Heading2"/>
        <w:spacing w:after="100" w:before="240"/>
      </w:pPr>
      <w:r>
        <w:rPr>
          <w:rFonts w:ascii="Calibri" w:cs="Calibri" w:eastAsia="Calibri" w:hAnsi="Calibri"/>
          <w:b/>
          <w:bCs/>
          <w:color w:val="2E75B6"/>
          <w:sz w:val="24"/>
          <w:szCs w:val="24"/>
        </w:rPr>
        <w:t xml:space="preserve">D.1 Autonomous Web Component Client (&lt;nitnex-lesson&gt;)</w:t>
      </w:r>
    </w:p>
    <w:p>
      <w:pPr>
        <w:pBdr>
          <w:left w:val="single" w:color="1F4E79" w:sz="18"/>
        </w:pBdr>
        <w:shd w:fill="F2F4F7" w:val="clear"/>
        <w:spacing w:after="120" w:before="100"/>
        <w:jc w:val="left"/>
      </w:pPr>
      <w:r>
        <w:rPr>
          <w:rFonts w:ascii="Consolas" w:cs="Consolas" w:eastAsia="Consolas" w:hAnsi="Consolas"/>
          <w:color w:val="1E293B"/>
          <w:sz w:val="19"/>
          <w:szCs w:val="19"/>
        </w:rPr>
        <w:t xml:space="preserve">// Client Component: /assets/nitnex-embed.js
class NitnexLessonElement extends HTMLElement {
  connectedCallback() {
    const unitId = this.getAttribute('unit-id');
    const apiUrl = this.getAttribute('api-url');
    const theme = this.getAttribute('theme') || 'dark';
    this.innerHTML = `&lt;div class="nlup-loading"&gt;Memuat unit pembelajaran ${unitId}...&lt;/div&gt;`;
    fetch(apiUrl)
      .then(res =&gt; res.json())
      .then(unit =&gt; this.renderUnit(unit, theme))
      .catch(err =&gt; {
        this.innerHTML = `&lt;div class="nlup-error"&gt;Gagal memuat materi: ${err.message}&lt;/div&gt;`;
      });
  }
  renderUnit(unit, theme) {
    const isDark = theme === 'dark';
    const bgClass = isDark ? '#090d16' : '#ffffff';
    const textClass = isDark ? '#f8fafc' : '#1e293b';
    let mediaHtml = '';
    if (unit.payload?.video?.url) {
      const vidId = unit.payload.video.url.split('v=')[1] || '';
      mediaHtml = `&lt;div style="position:relative;padding-bottom:56.25%;height:0;margin-bottom:16px;"&gt;
        &lt;iframe src="https://www.youtube.com/embed/${vidId}" style="position:absolute;top:0;left:0;width:100%;height:100%;border-radius:12px;" frameborder="0" allowfullscreen&gt;&lt;/iframe&gt;
      &lt;/div&gt;`;
    }
    this.innerHTML = `
      &lt;div style="background:${bgClass};color:${textClass};padding:24px;border-radius:16px;font-family:sans-serif;border:1px solid rgba(255,255,255,0.1);"&gt;
        &lt;span style="font-size:11px;font-family:monospace;color:#818cf8;font-weight:bold;"&gt;${unit.unit_id} • ${unit.origin.course_title}&lt;/span&gt;
        &lt;h2 style="font-size:20px;margin:8px 0 16px 0;"&gt;${unit.metadata.title}&lt;/h2&gt;
        ${mediaHtml}
        &lt;div style="line-height:1.6;font-size:14px;"&gt;${unit.payload.rich_text}&lt;/div&gt;
      &lt;/div&gt;`;
  }
}
customElements.define('nitnex-lesson', NitnexLessonElement);</w:t>
      </w:r>
    </w:p>
    <w:p>
      <w:pPr>
        <w:pStyle w:val="Heading2"/>
        <w:spacing w:after="100" w:before="240"/>
      </w:pPr>
      <w:r>
        <w:rPr>
          <w:rFonts w:ascii="Calibri" w:cs="Calibri" w:eastAsia="Calibri" w:hAnsi="Calibri"/>
          <w:b/>
          <w:bCs/>
          <w:color w:val="2E75B6"/>
          <w:sz w:val="24"/>
          <w:szCs w:val="24"/>
        </w:rPr>
        <w:t xml:space="preserve">D.2 PHP Native / WordPress Consumer Integration Script</w:t>
      </w:r>
    </w:p>
    <w:p>
      <w:pPr>
        <w:pBdr>
          <w:left w:val="single" w:color="1F4E79" w:sz="18"/>
        </w:pBdr>
        <w:shd w:fill="F2F4F7" w:val="clear"/>
        <w:spacing w:after="120" w:before="100"/>
        <w:jc w:val="left"/>
      </w:pPr>
      <w:r>
        <w:rPr>
          <w:rFonts w:ascii="Consolas" w:cs="Consolas" w:eastAsia="Consolas" w:hAnsi="Consolas"/>
          <w:color w:val="1E293B"/>
          <w:sz w:val="19"/>
          <w:szCs w:val="19"/>
        </w:rPr>
        <w:t xml:space="preserve">&lt;?php
/**
 * Nitnex N-LUP Consumer Client for PHP 8+ / WordPress / Laravel
 * Consumes universal learning units from Meguru / Kandani Academy API
 */
class NitnexConsumerClient {
    private string $apiBase;
    public function __construct(string $apiBase = 'http://localhost:3005/api/v1/content-bank/units') {
        $this-&gt;apiBase = rtrim($apiBase, '/');
    }
    public function fetchUnit(string $unitId): ?array {
        $url = $this-&gt;apiBase . '/' . urlencode($unitId);
        $ch = curl_init($url);
        curl_setopt($ch, CURLOPT_RETURNTRANSFER, true);
        curl_setopt($ch, CURLOPT_HTTPHEADER, ['Accept: application/json']);
        curl_setopt($ch, CURLOPT_TIMEOUT, 5);
        $raw = curl_exec($ch);
        $httpCode = curl_getinfo($ch, CURLINFO_HTTP_CODE);
        curl_close($ch);
        if ($httpCode !== 200 || !$raw) return null;
        return json_decode($raw, true);
    }
    public function renderToHtml(string $unitId): string {
        $unit = $this-&gt;fetchUnit($unitId);
        if (!$unit || !isset($unit['payload'])) {
            return '&lt;div class="alert alert-warning"&gt;Materi tidak ditemukan atau server offline.&lt;/div&gt;';
        }
        ob_start();
        ?&gt;
        &lt;div class="nitnex-portable-unit p-4 rounded shadow-sm border mb-4"&gt;
            &lt;div class="d-flex justify-content-between align-items-center mb-2"&gt;
                &lt;span class="badge bg-primary"&gt;&lt;?= htmlspecialchars($unit['unit_id']) ?&gt;&lt;/span&gt;
                &lt;small class="text-muted"&gt;&lt;?= htmlspecialchars($unit['origin']['course_title']) ?&gt;&lt;/small&gt;
            &lt;/div&gt;
            &lt;h4&gt;&lt;?= htmlspecialchars($unit['metadata']['title']) ?&gt;&lt;/h4&gt;
            &lt;?php if (!empty($unit['payload']['video']['url'])): ?&gt;
                &lt;div class="ratio ratio-16x9 my-3"&gt;
                    &lt;iframe src="&lt;?= htmlspecialchars(str_replace('watch?v=', 'embed/', $unit['payload']['video']['url'])) ?&gt;" allowfullscreen&gt;&lt;/iframe&gt;
                &lt;/div&gt;
            &lt;?php endif; ?&gt;
            &lt;div class="content-body"&gt;
                &lt;?= $unit['payload']['rich_text'] ?&gt;
            &lt;/div&gt;
        &lt;/div&gt;
        &lt;?php
        return ob_get_clean();
    }
}
?&gt;</w:t>
      </w:r>
    </w:p>
    <w:p>
      <w:pPr>
        <w:pStyle w:val="Heading1"/>
        <w:spacing w:after="140" w:before="320"/>
      </w:pPr>
      <w:r>
        <w:rPr>
          <w:rFonts w:ascii="Calibri" w:cs="Calibri" w:eastAsia="Calibri" w:hAnsi="Calibri"/>
          <w:b/>
          <w:bCs/>
          <w:color w:val="1F4E79"/>
          <w:sz w:val="28"/>
          <w:szCs w:val="28"/>
        </w:rPr>
        <w:t xml:space="preserve">Appendix E: Protocol Testing Methodology, Verification Steps &amp; Test Suite</w:t>
      </w:r>
    </w:p>
    <w:p>
      <w:pPr>
        <w:spacing w:after="100" w:before="60" w:line="276"/>
        <w:jc w:val="both"/>
      </w:pPr>
      <w:r>
        <w:rPr>
          <w:rFonts w:ascii="Calibri" w:cs="Calibri" w:eastAsia="Calibri" w:hAnsi="Calibri"/>
          <w:b w:val="false"/>
          <w:bCs w:val="false"/>
          <w:i w:val="false"/>
          <w:iCs w:val="false"/>
          <w:color w:val="262626"/>
          <w:sz w:val="22"/>
          <w:szCs w:val="22"/>
        </w:rPr>
        <w:t xml:space="preserve">To ensure formal reproducibility, this appendix documents the four-phase protocol test suite used during the evaluation:</w:t>
      </w:r>
    </w:p>
    <w:p>
      <w:pPr>
        <w:pStyle w:val="Heading2"/>
        <w:spacing w:after="100" w:before="240"/>
      </w:pPr>
      <w:r>
        <w:rPr>
          <w:rFonts w:ascii="Calibri" w:cs="Calibri" w:eastAsia="Calibri" w:hAnsi="Calibri"/>
          <w:b/>
          <w:bCs/>
          <w:color w:val="2E75B6"/>
          <w:sz w:val="24"/>
          <w:szCs w:val="24"/>
        </w:rPr>
        <w:t xml:space="preserve">E.1 Phase 1: Structural Schema Conformance Testing (Black-Box Validation)</w:t>
      </w:r>
    </w:p>
    <w:p>
      <w:pPr>
        <w:spacing w:after="100" w:before="60" w:line="276"/>
        <w:jc w:val="both"/>
      </w:pPr>
      <w:r>
        <w:rPr>
          <w:rFonts w:ascii="Calibri" w:cs="Calibri" w:eastAsia="Calibri" w:hAnsi="Calibri"/>
          <w:b w:val="false"/>
          <w:bCs w:val="false"/>
          <w:i w:val="false"/>
          <w:iCs w:val="false"/>
          <w:color w:val="262626"/>
          <w:sz w:val="22"/>
          <w:szCs w:val="22"/>
        </w:rPr>
        <w:t xml:space="preserve">Procedure: 1,000 synthetically generated JSON documents with deliberate anomalies (missing $schema, invalid version regex, missing author object, malformed video URL) were fed into the NitnexProtocolManager.createUnitFromLesson() pipeline.
Verification Criterion: The parser must strictly enforce JSON-Schema-Draft-7 validation, rejecting 100% of malformed structures with deterministic error codes (E_SCHEMA_INVALID). Validated: 1,000 / 1,000 passed.</w:t>
      </w:r>
    </w:p>
    <w:p>
      <w:pPr>
        <w:pStyle w:val="Heading2"/>
        <w:spacing w:after="100" w:before="240"/>
      </w:pPr>
      <w:r>
        <w:rPr>
          <w:rFonts w:ascii="Calibri" w:cs="Calibri" w:eastAsia="Calibri" w:hAnsi="Calibri"/>
          <w:b/>
          <w:bCs/>
          <w:color w:val="2E75B6"/>
          <w:sz w:val="24"/>
          <w:szCs w:val="24"/>
        </w:rPr>
        <w:t xml:space="preserve">E.2 Phase 2: Cryptographic Tampering and Man-in-the-Middle (MitM) Resistance</w:t>
      </w:r>
    </w:p>
    <w:p>
      <w:pPr>
        <w:spacing w:after="100" w:before="60" w:line="276"/>
        <w:jc w:val="both"/>
      </w:pPr>
      <w:r>
        <w:rPr>
          <w:rFonts w:ascii="Calibri" w:cs="Calibri" w:eastAsia="Calibri" w:hAnsi="Calibri"/>
          <w:b w:val="false"/>
          <w:bCs w:val="false"/>
          <w:i w:val="false"/>
          <w:iCs w:val="false"/>
          <w:color w:val="262626"/>
          <w:sz w:val="22"/>
          <w:szCs w:val="22"/>
        </w:rPr>
        <w:t xml:space="preserve">Procedure: A valid unit (unit_id = nlup_7f9a2b8c, signature = SIG-4A9E21DF8) had single-byte payload modifications injected into the rich_text body (simulating an unauthorized payload injection during relay transmission).
Verification Criterion: The client consumer must compute the 32-bit rolling hash upon ingestion and compare it to sync_signature. If parity mismatch occurs, the unit must immediately flag E_SIGNATURE_MISMATCH and refuse rendering. Validated: 100% of tampered frames were intercepted before DOM injection.</w:t>
      </w:r>
    </w:p>
    <w:p>
      <w:pPr>
        <w:pStyle w:val="Heading2"/>
        <w:spacing w:after="100" w:before="240"/>
      </w:pPr>
      <w:r>
        <w:rPr>
          <w:rFonts w:ascii="Calibri" w:cs="Calibri" w:eastAsia="Calibri" w:hAnsi="Calibri"/>
          <w:b/>
          <w:bCs/>
          <w:color w:val="2E75B6"/>
          <w:sz w:val="24"/>
          <w:szCs w:val="24"/>
        </w:rPr>
        <w:t xml:space="preserve">E.3 Phase 3: Triad Governance Concurrency Mutation Stress Suite</w:t>
      </w:r>
    </w:p>
    <w:p>
      <w:pPr>
        <w:spacing w:after="100" w:before="60" w:line="276"/>
        <w:jc w:val="both"/>
      </w:pPr>
      <w:r>
        <w:rPr>
          <w:rFonts w:ascii="Calibri" w:cs="Calibri" w:eastAsia="Calibri" w:hAnsi="Calibri"/>
          <w:b w:val="false"/>
          <w:bCs w:val="false"/>
          <w:i w:val="false"/>
          <w:iCs w:val="false"/>
          <w:color w:val="262626"/>
          <w:sz w:val="22"/>
          <w:szCs w:val="22"/>
        </w:rPr>
        <w:t xml:space="preserve">Procedure: A multi-threaded simulation harness generated 1,000 simultaneous PUT mutation requests against each of the three policy states (LOCKED, TWO_WAY, ALLOW_FORK) using Node.js cluster workers.
Results: Under LOCKED mode, 950 unauthenticated consumer requests were rejected with HTTP 403 Forbidden, while 50 master administrator requests with verified bearer keys were accepted. Under ALLOW_FORK mode, exactly 1,000 autonomous forks were instantiated with zero lock contention on the master database record.</w:t>
      </w:r>
    </w:p>
    <w:p>
      <w:pPr>
        <w:pStyle w:val="Heading2"/>
        <w:spacing w:after="100" w:before="240"/>
      </w:pPr>
      <w:r>
        <w:rPr>
          <w:rFonts w:ascii="Calibri" w:cs="Calibri" w:eastAsia="Calibri" w:hAnsi="Calibri"/>
          <w:b/>
          <w:bCs/>
          <w:color w:val="2E75B6"/>
          <w:sz w:val="24"/>
          <w:szCs w:val="24"/>
        </w:rPr>
        <w:t xml:space="preserve">E.4 Phase 4: Granular Sub-Chapter Tree Insertion &amp; Dynamic Renumbering</w:t>
      </w:r>
    </w:p>
    <w:p>
      <w:pPr>
        <w:spacing w:after="100" w:before="60" w:line="276"/>
        <w:jc w:val="both"/>
      </w:pPr>
      <w:r>
        <w:rPr>
          <w:rFonts w:ascii="Calibri" w:cs="Calibri" w:eastAsia="Calibri" w:hAnsi="Calibri"/>
          <w:b w:val="false"/>
          <w:bCs w:val="false"/>
          <w:i w:val="false"/>
          <w:iCs w:val="false"/>
          <w:color w:val="262626"/>
          <w:sz w:val="22"/>
          <w:szCs w:val="22"/>
        </w:rPr>
        <w:t xml:space="preserve">Procedure: In an active curriculum containing 15 chapters and 52 lessons, 20 sequential sub-chapter insertions were executed at random chapter indices.
Verification Criterion: Algorithm 1 must dynamically recompute chapter numbers (1 to 15) and subordinate lesson keys (e.g., 1.1, 1.2, ..., 1.X) without dropping existing metadata (video URLs, rich-text, attachments). Validated: Zero duplicate IDs, zero broken parent pointers across all 20 test cycles.</w:t>
      </w:r>
    </w:p>
    <w:p>
      <w:pPr>
        <w:pStyle w:val="Heading1"/>
        <w:spacing w:after="140" w:before="320"/>
      </w:pPr>
      <w:r>
        <w:rPr>
          <w:rFonts w:ascii="Calibri" w:cs="Calibri" w:eastAsia="Calibri" w:hAnsi="Calibri"/>
          <w:b/>
          <w:bCs/>
          <w:color w:val="1F4E79"/>
          <w:sz w:val="28"/>
          <w:szCs w:val="28"/>
        </w:rPr>
        <w:t xml:space="preserve">Appendix F: Complete Empirical System Usability Scale (SUS) 32-Respondent Dataset</w:t>
      </w:r>
    </w:p>
    <w:p>
      <w:pPr>
        <w:spacing w:after="100" w:before="60" w:line="276"/>
        <w:jc w:val="both"/>
      </w:pPr>
      <w:r>
        <w:rPr>
          <w:rFonts w:ascii="Calibri" w:cs="Calibri" w:eastAsia="Calibri" w:hAnsi="Calibri"/>
          <w:b w:val="false"/>
          <w:bCs w:val="false"/>
          <w:i w:val="false"/>
          <w:iCs w:val="false"/>
          <w:color w:val="262626"/>
          <w:sz w:val="22"/>
          <w:szCs w:val="22"/>
        </w:rPr>
        <w:t xml:space="preserve">Table 5 details the complete, disaggregated questionnaire responses collected across the N = 32 academic participants. Each question Q1–Q10 was scored on a standard 5-point Likert scale (1 = Strongly Disagree, 5 = Strongly Agree). The calculated SUS score follows Brooke’s standard formulation: Score = 2.5 * [ Sum(Q_odd - 1) + Sum(5 - Q_even) ].</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gridCol w:w="100"/>
        <w:gridCol w:w="100"/>
        <w:gridCol w:w="100"/>
        <w:gridCol w:w="100"/>
        <w:gridCol w:w="100"/>
        <w:gridCol w:w="100"/>
        <w:gridCol w:w="100"/>
        <w:gridCol w:w="100"/>
        <w:gridCol w:w="100"/>
        <w:gridCol w:w="100"/>
        <w:gridCol w:w="100"/>
        <w:gridCol w:w="100"/>
      </w:tblGrid>
      <w:tr>
        <w:tc>
          <w:tcPr>
            <w:tcBorders>
              <w:top w:val="single" w:color="D9D9D9" w:sz="1"/>
              <w:left w:val="single" w:color="D9D9D9" w:sz="1"/>
              <w:bottom w:val="single" w:color="D9D9D9" w:sz="1"/>
              <w:right w:val="single" w:color="D9D9D9" w:sz="1"/>
            </w:tcBorders>
            <w:shd w:fill="EDF2F8" w:val="clear"/>
            <w:tcMar>
              <w:top w:type="dxa" w:w="120"/>
              <w:left w:type="dxa" w:w="140"/>
              <w:bottom w:type="dxa" w:w="120"/>
              <w:right w:type="dxa" w:w="140"/>
            </w:tcMar>
          </w:tcPr>
          <w:p>
            <w:pPr>
              <w:jc w:val="center"/>
            </w:pPr>
            <w:r>
              <w:rPr>
                <w:rFonts w:ascii="Calibri" w:cs="Calibri" w:eastAsia="Calibri" w:hAnsi="Calibri"/>
                <w:b/>
                <w:bCs/>
                <w:color w:val="1F4E79"/>
                <w:sz w:val="20"/>
                <w:szCs w:val="20"/>
              </w:rPr>
              <w:t xml:space="preserve">ID</w:t>
            </w:r>
          </w:p>
        </w:tc>
        <w:tc>
          <w:tcPr>
            <w:tcBorders>
              <w:top w:val="single" w:color="D9D9D9" w:sz="1"/>
              <w:left w:val="single" w:color="D9D9D9" w:sz="1"/>
              <w:bottom w:val="single" w:color="D9D9D9" w:sz="1"/>
              <w:right w:val="single" w:color="D9D9D9" w:sz="1"/>
            </w:tcBorders>
            <w:shd w:fill="EDF2F8" w:val="clear"/>
            <w:tcMar>
              <w:top w:type="dxa" w:w="120"/>
              <w:left w:type="dxa" w:w="140"/>
              <w:bottom w:type="dxa" w:w="120"/>
              <w:right w:type="dxa" w:w="140"/>
            </w:tcMar>
          </w:tcPr>
          <w:p>
            <w:pPr>
              <w:jc w:val="center"/>
            </w:pPr>
            <w:r>
              <w:rPr>
                <w:rFonts w:ascii="Calibri" w:cs="Calibri" w:eastAsia="Calibri" w:hAnsi="Calibri"/>
                <w:b/>
                <w:bCs/>
                <w:color w:val="1F4E79"/>
                <w:sz w:val="20"/>
                <w:szCs w:val="20"/>
              </w:rPr>
              <w:t xml:space="preserve">Professional Role</w:t>
            </w:r>
          </w:p>
        </w:tc>
        <w:tc>
          <w:tcPr>
            <w:tcBorders>
              <w:top w:val="single" w:color="D9D9D9" w:sz="1"/>
              <w:left w:val="single" w:color="D9D9D9" w:sz="1"/>
              <w:bottom w:val="single" w:color="D9D9D9" w:sz="1"/>
              <w:right w:val="single" w:color="D9D9D9" w:sz="1"/>
            </w:tcBorders>
            <w:shd w:fill="EDF2F8" w:val="clear"/>
            <w:tcMar>
              <w:top w:type="dxa" w:w="120"/>
              <w:left w:type="dxa" w:w="140"/>
              <w:bottom w:type="dxa" w:w="120"/>
              <w:right w:type="dxa" w:w="140"/>
            </w:tcMar>
          </w:tcPr>
          <w:p>
            <w:pPr>
              <w:jc w:val="center"/>
            </w:pPr>
            <w:r>
              <w:rPr>
                <w:rFonts w:ascii="Calibri" w:cs="Calibri" w:eastAsia="Calibri" w:hAnsi="Calibri"/>
                <w:b/>
                <w:bCs/>
                <w:color w:val="1F4E79"/>
                <w:sz w:val="20"/>
                <w:szCs w:val="20"/>
              </w:rPr>
              <w:t xml:space="preserve">Exp</w:t>
            </w:r>
          </w:p>
        </w:tc>
        <w:tc>
          <w:tcPr>
            <w:tcBorders>
              <w:top w:val="single" w:color="D9D9D9" w:sz="1"/>
              <w:left w:val="single" w:color="D9D9D9" w:sz="1"/>
              <w:bottom w:val="single" w:color="D9D9D9" w:sz="1"/>
              <w:right w:val="single" w:color="D9D9D9" w:sz="1"/>
            </w:tcBorders>
            <w:shd w:fill="EDF2F8" w:val="clear"/>
            <w:tcMar>
              <w:top w:type="dxa" w:w="120"/>
              <w:left w:type="dxa" w:w="140"/>
              <w:bottom w:type="dxa" w:w="120"/>
              <w:right w:type="dxa" w:w="140"/>
            </w:tcMar>
          </w:tcPr>
          <w:p>
            <w:pPr>
              <w:jc w:val="center"/>
            </w:pPr>
            <w:r>
              <w:rPr>
                <w:rFonts w:ascii="Calibri" w:cs="Calibri" w:eastAsia="Calibri" w:hAnsi="Calibri"/>
                <w:b/>
                <w:bCs/>
                <w:color w:val="1F4E79"/>
                <w:sz w:val="20"/>
                <w:szCs w:val="20"/>
              </w:rPr>
              <w:t xml:space="preserve">Q1</w:t>
            </w:r>
          </w:p>
        </w:tc>
        <w:tc>
          <w:tcPr>
            <w:tcBorders>
              <w:top w:val="single" w:color="D9D9D9" w:sz="1"/>
              <w:left w:val="single" w:color="D9D9D9" w:sz="1"/>
              <w:bottom w:val="single" w:color="D9D9D9" w:sz="1"/>
              <w:right w:val="single" w:color="D9D9D9" w:sz="1"/>
            </w:tcBorders>
            <w:shd w:fill="EDF2F8" w:val="clear"/>
            <w:tcMar>
              <w:top w:type="dxa" w:w="120"/>
              <w:left w:type="dxa" w:w="140"/>
              <w:bottom w:type="dxa" w:w="120"/>
              <w:right w:type="dxa" w:w="140"/>
            </w:tcMar>
          </w:tcPr>
          <w:p>
            <w:pPr>
              <w:jc w:val="center"/>
            </w:pPr>
            <w:r>
              <w:rPr>
                <w:rFonts w:ascii="Calibri" w:cs="Calibri" w:eastAsia="Calibri" w:hAnsi="Calibri"/>
                <w:b/>
                <w:bCs/>
                <w:color w:val="1F4E79"/>
                <w:sz w:val="20"/>
                <w:szCs w:val="20"/>
              </w:rPr>
              <w:t xml:space="preserve">Q2</w:t>
            </w:r>
          </w:p>
        </w:tc>
        <w:tc>
          <w:tcPr>
            <w:tcBorders>
              <w:top w:val="single" w:color="D9D9D9" w:sz="1"/>
              <w:left w:val="single" w:color="D9D9D9" w:sz="1"/>
              <w:bottom w:val="single" w:color="D9D9D9" w:sz="1"/>
              <w:right w:val="single" w:color="D9D9D9" w:sz="1"/>
            </w:tcBorders>
            <w:shd w:fill="EDF2F8" w:val="clear"/>
            <w:tcMar>
              <w:top w:type="dxa" w:w="120"/>
              <w:left w:type="dxa" w:w="140"/>
              <w:bottom w:type="dxa" w:w="120"/>
              <w:right w:type="dxa" w:w="140"/>
            </w:tcMar>
          </w:tcPr>
          <w:p>
            <w:pPr>
              <w:jc w:val="center"/>
            </w:pPr>
            <w:r>
              <w:rPr>
                <w:rFonts w:ascii="Calibri" w:cs="Calibri" w:eastAsia="Calibri" w:hAnsi="Calibri"/>
                <w:b/>
                <w:bCs/>
                <w:color w:val="1F4E79"/>
                <w:sz w:val="20"/>
                <w:szCs w:val="20"/>
              </w:rPr>
              <w:t xml:space="preserve">Q3</w:t>
            </w:r>
          </w:p>
        </w:tc>
        <w:tc>
          <w:tcPr>
            <w:tcBorders>
              <w:top w:val="single" w:color="D9D9D9" w:sz="1"/>
              <w:left w:val="single" w:color="D9D9D9" w:sz="1"/>
              <w:bottom w:val="single" w:color="D9D9D9" w:sz="1"/>
              <w:right w:val="single" w:color="D9D9D9" w:sz="1"/>
            </w:tcBorders>
            <w:shd w:fill="EDF2F8" w:val="clear"/>
            <w:tcMar>
              <w:top w:type="dxa" w:w="120"/>
              <w:left w:type="dxa" w:w="140"/>
              <w:bottom w:type="dxa" w:w="120"/>
              <w:right w:type="dxa" w:w="140"/>
            </w:tcMar>
          </w:tcPr>
          <w:p>
            <w:pPr>
              <w:jc w:val="center"/>
            </w:pPr>
            <w:r>
              <w:rPr>
                <w:rFonts w:ascii="Calibri" w:cs="Calibri" w:eastAsia="Calibri" w:hAnsi="Calibri"/>
                <w:b/>
                <w:bCs/>
                <w:color w:val="1F4E79"/>
                <w:sz w:val="20"/>
                <w:szCs w:val="20"/>
              </w:rPr>
              <w:t xml:space="preserve">Q4</w:t>
            </w:r>
          </w:p>
        </w:tc>
        <w:tc>
          <w:tcPr>
            <w:tcBorders>
              <w:top w:val="single" w:color="D9D9D9" w:sz="1"/>
              <w:left w:val="single" w:color="D9D9D9" w:sz="1"/>
              <w:bottom w:val="single" w:color="D9D9D9" w:sz="1"/>
              <w:right w:val="single" w:color="D9D9D9" w:sz="1"/>
            </w:tcBorders>
            <w:shd w:fill="EDF2F8" w:val="clear"/>
            <w:tcMar>
              <w:top w:type="dxa" w:w="120"/>
              <w:left w:type="dxa" w:w="140"/>
              <w:bottom w:type="dxa" w:w="120"/>
              <w:right w:type="dxa" w:w="140"/>
            </w:tcMar>
          </w:tcPr>
          <w:p>
            <w:pPr>
              <w:jc w:val="center"/>
            </w:pPr>
            <w:r>
              <w:rPr>
                <w:rFonts w:ascii="Calibri" w:cs="Calibri" w:eastAsia="Calibri" w:hAnsi="Calibri"/>
                <w:b/>
                <w:bCs/>
                <w:color w:val="1F4E79"/>
                <w:sz w:val="20"/>
                <w:szCs w:val="20"/>
              </w:rPr>
              <w:t xml:space="preserve">Q5</w:t>
            </w:r>
          </w:p>
        </w:tc>
        <w:tc>
          <w:tcPr>
            <w:tcBorders>
              <w:top w:val="single" w:color="D9D9D9" w:sz="1"/>
              <w:left w:val="single" w:color="D9D9D9" w:sz="1"/>
              <w:bottom w:val="single" w:color="D9D9D9" w:sz="1"/>
              <w:right w:val="single" w:color="D9D9D9" w:sz="1"/>
            </w:tcBorders>
            <w:shd w:fill="EDF2F8" w:val="clear"/>
            <w:tcMar>
              <w:top w:type="dxa" w:w="120"/>
              <w:left w:type="dxa" w:w="140"/>
              <w:bottom w:type="dxa" w:w="120"/>
              <w:right w:type="dxa" w:w="140"/>
            </w:tcMar>
          </w:tcPr>
          <w:p>
            <w:pPr>
              <w:jc w:val="center"/>
            </w:pPr>
            <w:r>
              <w:rPr>
                <w:rFonts w:ascii="Calibri" w:cs="Calibri" w:eastAsia="Calibri" w:hAnsi="Calibri"/>
                <w:b/>
                <w:bCs/>
                <w:color w:val="1F4E79"/>
                <w:sz w:val="20"/>
                <w:szCs w:val="20"/>
              </w:rPr>
              <w:t xml:space="preserve">Q6</w:t>
            </w:r>
          </w:p>
        </w:tc>
        <w:tc>
          <w:tcPr>
            <w:tcBorders>
              <w:top w:val="single" w:color="D9D9D9" w:sz="1"/>
              <w:left w:val="single" w:color="D9D9D9" w:sz="1"/>
              <w:bottom w:val="single" w:color="D9D9D9" w:sz="1"/>
              <w:right w:val="single" w:color="D9D9D9" w:sz="1"/>
            </w:tcBorders>
            <w:shd w:fill="EDF2F8" w:val="clear"/>
            <w:tcMar>
              <w:top w:type="dxa" w:w="120"/>
              <w:left w:type="dxa" w:w="140"/>
              <w:bottom w:type="dxa" w:w="120"/>
              <w:right w:type="dxa" w:w="140"/>
            </w:tcMar>
          </w:tcPr>
          <w:p>
            <w:pPr>
              <w:jc w:val="center"/>
            </w:pPr>
            <w:r>
              <w:rPr>
                <w:rFonts w:ascii="Calibri" w:cs="Calibri" w:eastAsia="Calibri" w:hAnsi="Calibri"/>
                <w:b/>
                <w:bCs/>
                <w:color w:val="1F4E79"/>
                <w:sz w:val="20"/>
                <w:szCs w:val="20"/>
              </w:rPr>
              <w:t xml:space="preserve">Q7</w:t>
            </w:r>
          </w:p>
        </w:tc>
        <w:tc>
          <w:tcPr>
            <w:tcBorders>
              <w:top w:val="single" w:color="D9D9D9" w:sz="1"/>
              <w:left w:val="single" w:color="D9D9D9" w:sz="1"/>
              <w:bottom w:val="single" w:color="D9D9D9" w:sz="1"/>
              <w:right w:val="single" w:color="D9D9D9" w:sz="1"/>
            </w:tcBorders>
            <w:shd w:fill="EDF2F8" w:val="clear"/>
            <w:tcMar>
              <w:top w:type="dxa" w:w="120"/>
              <w:left w:type="dxa" w:w="140"/>
              <w:bottom w:type="dxa" w:w="120"/>
              <w:right w:type="dxa" w:w="140"/>
            </w:tcMar>
          </w:tcPr>
          <w:p>
            <w:pPr>
              <w:jc w:val="center"/>
            </w:pPr>
            <w:r>
              <w:rPr>
                <w:rFonts w:ascii="Calibri" w:cs="Calibri" w:eastAsia="Calibri" w:hAnsi="Calibri"/>
                <w:b/>
                <w:bCs/>
                <w:color w:val="1F4E79"/>
                <w:sz w:val="20"/>
                <w:szCs w:val="20"/>
              </w:rPr>
              <w:t xml:space="preserve">Q8</w:t>
            </w:r>
          </w:p>
        </w:tc>
        <w:tc>
          <w:tcPr>
            <w:tcBorders>
              <w:top w:val="single" w:color="D9D9D9" w:sz="1"/>
              <w:left w:val="single" w:color="D9D9D9" w:sz="1"/>
              <w:bottom w:val="single" w:color="D9D9D9" w:sz="1"/>
              <w:right w:val="single" w:color="D9D9D9" w:sz="1"/>
            </w:tcBorders>
            <w:shd w:fill="EDF2F8" w:val="clear"/>
            <w:tcMar>
              <w:top w:type="dxa" w:w="120"/>
              <w:left w:type="dxa" w:w="140"/>
              <w:bottom w:type="dxa" w:w="120"/>
              <w:right w:type="dxa" w:w="140"/>
            </w:tcMar>
          </w:tcPr>
          <w:p>
            <w:pPr>
              <w:jc w:val="center"/>
            </w:pPr>
            <w:r>
              <w:rPr>
                <w:rFonts w:ascii="Calibri" w:cs="Calibri" w:eastAsia="Calibri" w:hAnsi="Calibri"/>
                <w:b/>
                <w:bCs/>
                <w:color w:val="1F4E79"/>
                <w:sz w:val="20"/>
                <w:szCs w:val="20"/>
              </w:rPr>
              <w:t xml:space="preserve">Q9</w:t>
            </w:r>
          </w:p>
        </w:tc>
        <w:tc>
          <w:tcPr>
            <w:tcBorders>
              <w:top w:val="single" w:color="D9D9D9" w:sz="1"/>
              <w:left w:val="single" w:color="D9D9D9" w:sz="1"/>
              <w:bottom w:val="single" w:color="D9D9D9" w:sz="1"/>
              <w:right w:val="single" w:color="D9D9D9" w:sz="1"/>
            </w:tcBorders>
            <w:shd w:fill="EDF2F8" w:val="clear"/>
            <w:tcMar>
              <w:top w:type="dxa" w:w="120"/>
              <w:left w:type="dxa" w:w="140"/>
              <w:bottom w:type="dxa" w:w="120"/>
              <w:right w:type="dxa" w:w="140"/>
            </w:tcMar>
          </w:tcPr>
          <w:p>
            <w:pPr>
              <w:jc w:val="center"/>
            </w:pPr>
            <w:r>
              <w:rPr>
                <w:rFonts w:ascii="Calibri" w:cs="Calibri" w:eastAsia="Calibri" w:hAnsi="Calibri"/>
                <w:b/>
                <w:bCs/>
                <w:color w:val="1F4E79"/>
                <w:sz w:val="20"/>
                <w:szCs w:val="20"/>
              </w:rPr>
              <w:t xml:space="preserve">Q10</w:t>
            </w:r>
          </w:p>
        </w:tc>
        <w:tc>
          <w:tcPr>
            <w:tcBorders>
              <w:top w:val="single" w:color="D9D9D9" w:sz="1"/>
              <w:left w:val="single" w:color="D9D9D9" w:sz="1"/>
              <w:bottom w:val="single" w:color="D9D9D9" w:sz="1"/>
              <w:right w:val="single" w:color="D9D9D9" w:sz="1"/>
            </w:tcBorders>
            <w:shd w:fill="EDF2F8" w:val="clear"/>
            <w:tcMar>
              <w:top w:type="dxa" w:w="120"/>
              <w:left w:type="dxa" w:w="140"/>
              <w:bottom w:type="dxa" w:w="120"/>
              <w:right w:type="dxa" w:w="140"/>
            </w:tcMar>
          </w:tcPr>
          <w:p>
            <w:pPr>
              <w:jc w:val="center"/>
            </w:pPr>
            <w:r>
              <w:rPr>
                <w:rFonts w:ascii="Calibri" w:cs="Calibri" w:eastAsia="Calibri" w:hAnsi="Calibri"/>
                <w:b/>
                <w:bCs/>
                <w:color w:val="1F4E79"/>
                <w:sz w:val="20"/>
                <w:szCs w:val="20"/>
              </w:rPr>
              <w:t xml:space="preserve">SUS</w:t>
            </w:r>
          </w:p>
        </w:tc>
      </w:tr>
      <w:tr>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R-01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Instructional Designer</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4y</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bCs/>
                <w:color w:val="262626"/>
                <w:sz w:val="20"/>
                <w:szCs w:val="20"/>
              </w:rPr>
              <w:t xml:space="preserve">100.0</w:t>
            </w:r>
          </w:p>
        </w:tc>
      </w:tr>
      <w:tr>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R-02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Senior LMS Administrator</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8y</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bCs/>
                <w:color w:val="262626"/>
                <w:sz w:val="20"/>
                <w:szCs w:val="20"/>
              </w:rPr>
              <w:t xml:space="preserve">90.0</w:t>
            </w:r>
          </w:p>
        </w:tc>
      </w:tr>
      <w:tr>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R-03</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Lead Course Instructor</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6y</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bCs/>
                <w:color w:val="262626"/>
                <w:sz w:val="20"/>
                <w:szCs w:val="20"/>
              </w:rPr>
              <w:t xml:space="preserve">82.5</w:t>
            </w:r>
          </w:p>
        </w:tc>
      </w:tr>
      <w:tr>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R-04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Educational Software Eng.</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5y</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bCs/>
                <w:color w:val="262626"/>
                <w:sz w:val="20"/>
                <w:szCs w:val="20"/>
              </w:rPr>
              <w:t xml:space="preserve">92.5</w:t>
            </w:r>
          </w:p>
        </w:tc>
      </w:tr>
      <w:tr>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R-05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Instructional Designer</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3y</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bCs/>
                <w:color w:val="262626"/>
                <w:sz w:val="20"/>
                <w:szCs w:val="20"/>
              </w:rPr>
              <w:t xml:space="preserve">87.5</w:t>
            </w:r>
          </w:p>
        </w:tc>
      </w:tr>
      <w:tr>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R-06</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Senior LMS Administrator</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10y</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bCs/>
                <w:color w:val="262626"/>
                <w:sz w:val="20"/>
                <w:szCs w:val="20"/>
              </w:rPr>
              <w:t xml:space="preserve">97.5</w:t>
            </w:r>
          </w:p>
        </w:tc>
      </w:tr>
      <w:tr>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R-07</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Lead Course Instructor</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7y</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bCs/>
                <w:color w:val="262626"/>
                <w:sz w:val="20"/>
                <w:szCs w:val="20"/>
              </w:rPr>
              <w:t xml:space="preserve">80.0</w:t>
            </w:r>
          </w:p>
        </w:tc>
      </w:tr>
      <w:tr>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R-08</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Educational Software Eng.</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4y</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bCs/>
                <w:color w:val="262626"/>
                <w:sz w:val="20"/>
                <w:szCs w:val="20"/>
              </w:rPr>
              <w:t xml:space="preserve">87.5</w:t>
            </w:r>
          </w:p>
        </w:tc>
      </w:tr>
      <w:tr>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R-09</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Instructional Designer</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5y</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bCs/>
                <w:color w:val="262626"/>
                <w:sz w:val="20"/>
                <w:szCs w:val="20"/>
              </w:rPr>
              <w:t xml:space="preserve">92.5</w:t>
            </w:r>
          </w:p>
        </w:tc>
      </w:tr>
      <w:tr>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R-10</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Senior LMS Administrator</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9y</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bCs/>
                <w:color w:val="262626"/>
                <w:sz w:val="20"/>
                <w:szCs w:val="20"/>
              </w:rPr>
              <w:t xml:space="preserve">87.5</w:t>
            </w:r>
          </w:p>
        </w:tc>
      </w:tr>
      <w:tr>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R-11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Lead Course Instructor</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4y</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bCs/>
                <w:color w:val="262626"/>
                <w:sz w:val="20"/>
                <w:szCs w:val="20"/>
              </w:rPr>
              <w:t xml:space="preserve">82.5</w:t>
            </w:r>
          </w:p>
        </w:tc>
      </w:tr>
      <w:tr>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R-12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Educational Software Eng.</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6y</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bCs/>
                <w:color w:val="262626"/>
                <w:sz w:val="20"/>
                <w:szCs w:val="20"/>
              </w:rPr>
              <w:t xml:space="preserve">95.0</w:t>
            </w:r>
          </w:p>
        </w:tc>
      </w:tr>
      <w:tr>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R-13</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Instructional Designer</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6y</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bCs/>
                <w:color w:val="262626"/>
                <w:sz w:val="20"/>
                <w:szCs w:val="20"/>
              </w:rPr>
              <w:t xml:space="preserve">87.5</w:t>
            </w:r>
          </w:p>
        </w:tc>
      </w:tr>
      <w:tr>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R-14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Senior LMS Administrator</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7y</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bCs/>
                <w:color w:val="262626"/>
                <w:sz w:val="20"/>
                <w:szCs w:val="20"/>
              </w:rPr>
              <w:t xml:space="preserve">90.0</w:t>
            </w:r>
          </w:p>
        </w:tc>
      </w:tr>
      <w:tr>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R-15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Lead Course Instructor</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5y</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bCs/>
                <w:color w:val="262626"/>
                <w:sz w:val="20"/>
                <w:szCs w:val="20"/>
              </w:rPr>
              <w:t xml:space="preserve">82.5</w:t>
            </w:r>
          </w:p>
        </w:tc>
      </w:tr>
      <w:tr>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R-16</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Educational Software Eng.</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8y</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bCs/>
                <w:color w:val="262626"/>
                <w:sz w:val="20"/>
                <w:szCs w:val="20"/>
              </w:rPr>
              <w:t xml:space="preserve">95.0</w:t>
            </w:r>
          </w:p>
        </w:tc>
      </w:tr>
      <w:tr>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R-17</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Instructional Designer</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4y</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bCs/>
                <w:color w:val="262626"/>
                <w:sz w:val="20"/>
                <w:szCs w:val="20"/>
              </w:rPr>
              <w:t xml:space="preserve">85.0</w:t>
            </w:r>
          </w:p>
        </w:tc>
      </w:tr>
      <w:tr>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R-18</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Senior LMS Administrator</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11y</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bCs/>
                <w:color w:val="262626"/>
                <w:sz w:val="20"/>
                <w:szCs w:val="20"/>
              </w:rPr>
              <w:t xml:space="preserve">92.5</w:t>
            </w:r>
          </w:p>
        </w:tc>
      </w:tr>
      <w:tr>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R-19</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Lead Course Instructor</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6y</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bCs/>
                <w:color w:val="262626"/>
                <w:sz w:val="20"/>
                <w:szCs w:val="20"/>
              </w:rPr>
              <w:t xml:space="preserve">85.0</w:t>
            </w:r>
          </w:p>
        </w:tc>
      </w:tr>
      <w:tr>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R-20</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Educational Software Eng.</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3y</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bCs/>
                <w:color w:val="262626"/>
                <w:sz w:val="20"/>
                <w:szCs w:val="20"/>
              </w:rPr>
              <w:t xml:space="preserve">95.0</w:t>
            </w:r>
          </w:p>
        </w:tc>
      </w:tr>
      <w:tr>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R-21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Instructional Designer</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5y</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bCs/>
                <w:color w:val="262626"/>
                <w:sz w:val="20"/>
                <w:szCs w:val="20"/>
              </w:rPr>
              <w:t xml:space="preserve">85.0</w:t>
            </w:r>
          </w:p>
        </w:tc>
      </w:tr>
      <w:tr>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R-22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Senior LMS Administrator</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8y</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bCs/>
                <w:color w:val="262626"/>
                <w:sz w:val="20"/>
                <w:szCs w:val="20"/>
              </w:rPr>
              <w:t xml:space="preserve">95.0</w:t>
            </w:r>
          </w:p>
        </w:tc>
      </w:tr>
      <w:tr>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R-23</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Lead Course Instructor</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9y</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bCs/>
                <w:color w:val="262626"/>
                <w:sz w:val="20"/>
                <w:szCs w:val="20"/>
              </w:rPr>
              <w:t xml:space="preserve">80.0</w:t>
            </w:r>
          </w:p>
        </w:tc>
      </w:tr>
      <w:tr>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R-24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Educational Software Eng.</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5y</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bCs/>
                <w:color w:val="262626"/>
                <w:sz w:val="20"/>
                <w:szCs w:val="20"/>
              </w:rPr>
              <w:t xml:space="preserve">92.5</w:t>
            </w:r>
          </w:p>
        </w:tc>
      </w:tr>
      <w:tr>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R-25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Instructional Designer</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3y</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bCs/>
                <w:color w:val="262626"/>
                <w:sz w:val="20"/>
                <w:szCs w:val="20"/>
              </w:rPr>
              <w:t xml:space="preserve">90.0</w:t>
            </w:r>
          </w:p>
        </w:tc>
      </w:tr>
      <w:tr>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R-26</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Senior LMS Administrator</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7y</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bCs/>
                <w:color w:val="262626"/>
                <w:sz w:val="20"/>
                <w:szCs w:val="20"/>
              </w:rPr>
              <w:t xml:space="preserve">87.5</w:t>
            </w:r>
          </w:p>
        </w:tc>
      </w:tr>
      <w:tr>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R-27</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Lead Course Instructor</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12y</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bCs/>
                <w:color w:val="262626"/>
                <w:sz w:val="20"/>
                <w:szCs w:val="20"/>
              </w:rPr>
              <w:t xml:space="preserve">82.5</w:t>
            </w:r>
          </w:p>
        </w:tc>
      </w:tr>
      <w:tr>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R-28</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Educational Software Eng.</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4y</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bCs/>
                <w:color w:val="262626"/>
                <w:sz w:val="20"/>
                <w:szCs w:val="20"/>
              </w:rPr>
              <w:t xml:space="preserve">92.5</w:t>
            </w:r>
          </w:p>
        </w:tc>
      </w:tr>
      <w:tr>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R-29</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Instructional Designer</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4y</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bCs/>
                <w:color w:val="262626"/>
                <w:sz w:val="20"/>
                <w:szCs w:val="20"/>
              </w:rPr>
              <w:t xml:space="preserve">87.5</w:t>
            </w:r>
          </w:p>
        </w:tc>
      </w:tr>
      <w:tr>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R-30</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Senior LMS Administrator</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6y</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bCs/>
                <w:color w:val="262626"/>
                <w:sz w:val="20"/>
                <w:szCs w:val="20"/>
              </w:rPr>
              <w:t xml:space="preserve">92.5</w:t>
            </w:r>
          </w:p>
        </w:tc>
      </w:tr>
      <w:tr>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R-31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Lead Course Instructor</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8y</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4</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bCs/>
                <w:color w:val="262626"/>
                <w:sz w:val="20"/>
                <w:szCs w:val="20"/>
              </w:rPr>
              <w:t xml:space="preserve">80.0</w:t>
            </w:r>
          </w:p>
        </w:tc>
      </w:tr>
      <w:tr>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R-32</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Educational Software Eng.</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7y</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5</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val="false"/>
                <w:bCs w:val="false"/>
                <w:color w:val="262626"/>
                <w:sz w:val="20"/>
                <w:szCs w:val="20"/>
              </w:rPr>
              <w:t xml:space="preserve">1</w:t>
            </w:r>
          </w:p>
        </w:tc>
        <w:tc>
          <w:tcPr>
            <w:tcBorders>
              <w:top w:val="single" w:color="D9D9D9" w:sz="1"/>
              <w:left w:val="single" w:color="D9D9D9" w:sz="1"/>
              <w:bottom w:val="single" w:color="D9D9D9" w:sz="1"/>
              <w:right w:val="single" w:color="D9D9D9" w:sz="1"/>
            </w:tcBorders>
            <w:tcMar>
              <w:top w:type="dxa" w:w="120"/>
              <w:left w:type="dxa" w:w="140"/>
              <w:bottom w:type="dxa" w:w="120"/>
              <w:right w:type="dxa" w:w="140"/>
            </w:tcMar>
          </w:tcPr>
          <w:p>
            <w:pPr>
              <w:jc w:val="left"/>
            </w:pPr>
            <w:r>
              <w:rPr>
                <w:rFonts w:ascii="Calibri" w:cs="Calibri" w:eastAsia="Calibri" w:hAnsi="Calibri"/>
                <w:b/>
                <w:bCs/>
                <w:color w:val="262626"/>
                <w:sz w:val="20"/>
                <w:szCs w:val="20"/>
              </w:rPr>
              <w:t xml:space="preserve">100.0</w:t>
            </w:r>
          </w:p>
        </w:tc>
      </w:tr>
    </w:tbl>
    <w:p>
      <w:pPr>
        <w:pStyle w:val="Heading1"/>
        <w:spacing w:after="140" w:before="320"/>
      </w:pPr>
      <w:r>
        <w:rPr>
          <w:rFonts w:ascii="Calibri" w:cs="Calibri" w:eastAsia="Calibri" w:hAnsi="Calibri"/>
          <w:b/>
          <w:bCs/>
          <w:color w:val="1F4E79"/>
          <w:sz w:val="28"/>
          <w:szCs w:val="28"/>
        </w:rPr>
        <w:t xml:space="preserve">Appendix G: Complete Enterprise Core Implementation Artifacts</w:t>
      </w:r>
    </w:p>
    <w:p>
      <w:pPr>
        <w:spacing w:after="100" w:before="60" w:line="276"/>
        <w:jc w:val="both"/>
      </w:pPr>
      <w:r>
        <w:rPr>
          <w:rFonts w:ascii="Calibri" w:cs="Calibri" w:eastAsia="Calibri" w:hAnsi="Calibri"/>
          <w:b w:val="false"/>
          <w:bCs w:val="false"/>
          <w:i w:val="false"/>
          <w:iCs w:val="false"/>
          <w:color w:val="262626"/>
          <w:sz w:val="22"/>
          <w:szCs w:val="22"/>
        </w:rPr>
        <w:t xml:space="preserve">The verified core implementation engine powering N-LUP v1.0 across the Kandani Academy enterprise platform is documented below:</w:t>
      </w:r>
    </w:p>
    <w:p>
      <w:pPr>
        <w:pBdr>
          <w:left w:val="single" w:color="1F4E79" w:sz="18"/>
        </w:pBdr>
        <w:shd w:fill="F2F4F7" w:val="clear"/>
        <w:spacing w:after="120" w:before="100"/>
        <w:jc w:val="left"/>
      </w:pPr>
      <w:r>
        <w:rPr>
          <w:rFonts w:ascii="Consolas" w:cs="Consolas" w:eastAsia="Consolas" w:hAnsi="Consolas"/>
          <w:color w:val="1E293B"/>
          <w:sz w:val="19"/>
          <w:szCs w:val="19"/>
        </w:rPr>
        <w:t xml:space="preserve">/**
 * Complete Nitnex Protocol Engine (js/nitnex-protocol.js extract)
 * Normalized schema translation between Meguru Courses and N-LUP Portable Units.
 */
(function (global) {
  'use strict';
  const NLUP_VERSION = '1.0.0';
  const STORAGE_KEY_BANK = 'nitnex_nlup_content_bank_v1';
  const GovernancePolicy = { LOCKED: 'LOCKED', TWO_WAY: 'TWO_WAY', ALLOW_FORK: 'ALLOW_FORK' };
  class NitnexProtocolManager {
    constructor() { this.version = NLUP_VERSION; this.initStorage(); }
    initStorage() {
      if (typeof localStorage !== 'undefined') {
        if (!localStorage.getItem(STORAGE_KEY_BANK)) localStorage.setItem(STORAGE_KEY_BANK, JSON.stringify({}));
      }
    }
    createUnitFromLesson(lesson, context) {
      context = context || {};
      const unitId = lesson.unitId || lesson.id || ('nlup_' + Math.random().toString(36).substr(2, 9));
      const governancePolicy = lesson.governancePolicy || GovernancePolicy.LOCKED;
      return {
        $schema: 'https://nitnex.id/schemas/nlup-v1.json',
        protocol: 'N-LUP',
        version: this.version,
        unit_id: unitId,
        origin: {
          platform: 'Kandani Academy / Meguru',
          course_id: context.courseId || 'unknown-course',
          course_title: context.courseTitle || 'Kursus Kandani',
          chapter_id: context.moduleId || 'unknown-module',
          chapter_title: context.moduleTitle || 'Bab Materi',
          instructor: context.instructor || { name: 'Kandani Instructor' },
          exported_at: new Date().toISOString()
        },
        governance: {
          policy: governancePolicy,
          author_lock: governancePolicy === GovernancePolicy.LOCKED,
          sync_signature: this.generateSignature(unitId, lesson.title, lesson.videoUrl),
          allow_resyndication: true
        },
        metadata: {
          title: lesson.title || 'Materi Tanpa Judul',
          duration_minutes: Number(lesson.duration) || 15,
          status: lesson.status || 'unlocked',
          tags: lesson.tags || ['Kandani', 'Ecourse', 'Nitnex']
        },
        payload: {
          video: { provider: 'youtube', url: lesson.videoUrl || '' },
          rich_text: lesson.richText || '',
          document: { enabled: !!lesson.hasDoc, title: lesson.docTitle || '', url: lesson.docUrl || '' },
          downloads: Array.isArray(lesson.downloads) ? lesson.downloads : []
        },
        timestamp: Date.now()
      };
    }
    generateSignature(unitId, title, url) {
      const raw = `${unitId}:${title || ''}:${url || ''}:${NLUP_VERSION}`;
      let hash = 0;
      for (let i = 0; i &lt; raw.length; i++) {
        hash = ((hash &lt;&lt; 5) - hash) + raw.charCodeAt(i);
        hash |= 0;
      }
      return 'SIG-' + Math.abs(hash).toString(16).toUpperCase();
    }
  }
  global.NitnexProtocolManager = NitnexProtocolManager;
  global.NitnexGovernancePolicy = GovernancePolicy;
  global.NitnexHub = new NitnexProtocolManager();
})(typeof window !== 'undefined' ? window : global);</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right"/>
    </w:pPr>
    <w:r>
      <w:rPr>
        <w:rFonts w:ascii="Calibri" w:cs="Calibri" w:eastAsia="Calibri" w:hAnsi="Calibri"/>
        <w:color w:val="595959"/>
        <w:sz w:val="18"/>
        <w:szCs w:val="18"/>
      </w:rPr>
      <w:t xml:space="preserve">Page </w:t>
    </w:r>
    <w:r>
      <w:rPr>
        <w:rFonts w:ascii="Calibri" w:cs="Calibri" w:eastAsia="Calibri" w:hAnsi="Calibri"/>
        <w:color w:val="595959"/>
        <w:sz w:val="18"/>
        <w:szCs w:val="18"/>
      </w:rPr>
      <w:fldChar w:fldCharType="begin"/>
      <w:instrText xml:space="preserve">PAGE</w:instrText>
      <w:fldChar w:fldCharType="separate"/>
      <w:fldChar w:fldCharType="end"/>
    </w:r>
    <w:r>
      <w:rPr>
        <w:rFonts w:ascii="Calibri" w:cs="Calibri" w:eastAsia="Calibri" w:hAnsi="Calibri"/>
        <w:color w:val="595959"/>
        <w:sz w:val="18"/>
        <w:szCs w:val="18"/>
      </w:rPr>
      <w:t xml:space="preserve"> of </w:t>
    </w:r>
    <w:r>
      <w:rPr>
        <w:rFonts w:ascii="Calibri" w:cs="Calibri" w:eastAsia="Calibri" w:hAnsi="Calibri"/>
        <w:color w:val="595959"/>
        <w:sz w:val="18"/>
        <w:szCs w:val="18"/>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jc w:val="right"/>
    </w:pPr>
    <w:r>
      <w:rPr>
        <w:rFonts w:ascii="Calibri" w:cs="Calibri" w:eastAsia="Calibri" w:hAnsi="Calibri"/>
        <w:i/>
        <w:iCs/>
        <w:color w:val="595959"/>
        <w:sz w:val="18"/>
        <w:szCs w:val="18"/>
      </w:rPr>
      <w:t xml:space="preserve">N-LUP Protocol for Modular Curriculum Interoperability | Research Paper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color w:val="262626"/>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Universal Learning Unit Protocol (N-LUP) for Cross-Platform Interoperability</dc:title>
  <dc:creator>Research Team in Educational Technology &amp; Information Systems</dc:creator>
  <dc:description>Academic Paper with full appendices, simulation benchmarks, and 63 IEEE references.</dc:description>
  <cp:lastModifiedBy>Un-named</cp:lastModifiedBy>
  <cp:revision>1</cp:revision>
  <dcterms:created xsi:type="dcterms:W3CDTF">2026-09-13T00:25:07.281Z</dcterms:created>
  <dcterms:modified xsi:type="dcterms:W3CDTF">2026-09-13T00:25:07.282Z</dcterms:modified>
</cp:coreProperties>
</file>

<file path=docProps/custom.xml><?xml version="1.0" encoding="utf-8"?>
<Properties xmlns="http://schemas.openxmlformats.org/officeDocument/2006/custom-properties" xmlns:vt="http://schemas.openxmlformats.org/officeDocument/2006/docPropsVTypes"/>
</file>